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2FBE" w:rsidRDefault="00922FBE" w:rsidP="00922FBE">
      <w:pPr>
        <w:jc w:val="right"/>
        <w:rPr>
          <w:b/>
          <w:color w:val="0000FF"/>
          <w:sz w:val="28"/>
          <w:szCs w:val="28"/>
        </w:rPr>
      </w:pPr>
      <w:bookmarkStart w:id="0" w:name="_GoBack"/>
      <w:bookmarkEnd w:id="0"/>
      <w:r>
        <w:rPr>
          <w:b/>
          <w:color w:val="0000FF"/>
          <w:sz w:val="28"/>
          <w:szCs w:val="28"/>
        </w:rPr>
        <w:t>Allegato 3</w:t>
      </w:r>
    </w:p>
    <w:p w:rsidR="00ED6A5B" w:rsidRPr="00ED6A5B" w:rsidRDefault="00ED6A5B" w:rsidP="00922FBE">
      <w:pPr>
        <w:jc w:val="both"/>
        <w:rPr>
          <w:b/>
          <w:color w:val="0000FF"/>
          <w:sz w:val="28"/>
          <w:szCs w:val="28"/>
        </w:rPr>
      </w:pPr>
      <w:r w:rsidRPr="00ED6A5B">
        <w:rPr>
          <w:b/>
          <w:color w:val="0000FF"/>
          <w:sz w:val="28"/>
          <w:szCs w:val="28"/>
        </w:rPr>
        <w:t>Dichiarazioni in merito al titolare effettivo e all’assenza di conflitto di interessi in fase di predisposizione degli atti di gara</w:t>
      </w:r>
    </w:p>
    <w:p w:rsidR="00ED6A5B" w:rsidRDefault="00ED6A5B" w:rsidP="00ED6A5B">
      <w:pPr>
        <w:jc w:val="both"/>
      </w:pPr>
      <w:r>
        <w:t xml:space="preserve">Con riferimento alla normativa in materia di antiriciclaggio, nella fase di predisposizione della  documentazione di gara o nella procedura finalizzata alla selezione del Soggetto realizzatore, il </w:t>
      </w:r>
      <w:r>
        <w:rPr>
          <w:b/>
        </w:rPr>
        <w:t>RUP</w:t>
      </w:r>
      <w:r>
        <w:t xml:space="preserve"> deve accertarsi </w:t>
      </w:r>
      <w:r w:rsidRPr="00ED6A5B">
        <w:rPr>
          <w:b/>
          <w:u w:val="single"/>
        </w:rPr>
        <w:t>che gli atti per l’avvio delle procedure per l’aggiudicazione degli appalti</w:t>
      </w:r>
      <w:r>
        <w:t xml:space="preserve"> prevedano esplicitamente:</w:t>
      </w:r>
    </w:p>
    <w:p w:rsidR="00ED6A5B" w:rsidRDefault="00B5233B" w:rsidP="00ED6A5B">
      <w:r>
        <w:t>-</w:t>
      </w:r>
      <w:r w:rsidR="00ED6A5B">
        <w:t xml:space="preserve"> </w:t>
      </w:r>
      <w:r w:rsidR="00ED6A5B" w:rsidRPr="00ED6A5B">
        <w:rPr>
          <w:b/>
        </w:rPr>
        <w:t>l’obbligo di fornire i dati necessari per l’identificazione del titolare effettivo</w:t>
      </w:r>
      <w:r w:rsidR="00ED6A5B">
        <w:t xml:space="preserve"> dell’impresa partecipante (cognome, nome, codice fiscale/partita IVA);</w:t>
      </w:r>
    </w:p>
    <w:p w:rsidR="00ED6A5B" w:rsidRDefault="00B5233B" w:rsidP="00ED6A5B">
      <w:pPr>
        <w:jc w:val="both"/>
      </w:pPr>
      <w:r>
        <w:t>-</w:t>
      </w:r>
      <w:r w:rsidR="00ED6A5B">
        <w:t xml:space="preserve"> l’obbligo per il </w:t>
      </w:r>
      <w:r w:rsidR="00ED6A5B" w:rsidRPr="00ED6A5B">
        <w:rPr>
          <w:b/>
        </w:rPr>
        <w:t>rappresentante legale dell’impresa partecipante</w:t>
      </w:r>
      <w:r w:rsidR="00ED6A5B">
        <w:t xml:space="preserve"> di rilasciare un’autodichiarazione di  </w:t>
      </w:r>
      <w:r w:rsidR="00ED6A5B" w:rsidRPr="00ED6A5B">
        <w:rPr>
          <w:b/>
        </w:rPr>
        <w:t>assenza di conflitto di interessi</w:t>
      </w:r>
      <w:r w:rsidR="00ED6A5B">
        <w:t>. Nel caso in cui questi non corrisponda con il “titolare effettivo”, l’obbligo di rilascio della autodichiarazione di assenza di conflitto di interessi si estende anche al “titolare effettivo”.</w:t>
      </w:r>
    </w:p>
    <w:p w:rsidR="00AB7CD7" w:rsidRDefault="00ED6A5B" w:rsidP="00ED6A5B">
      <w:pPr>
        <w:jc w:val="both"/>
      </w:pPr>
      <w:r>
        <w:t>Per le finalità di cui sopra si allegheranno al bando o alla lettera di invito appositi format sia per la raccolta dei dati necessari per l’identificazione del titolare effettivo dell’azienda appaltatrice (e di eventuali subappaltatori o aziende in R.T.I.), sia per l’autocertificazione di assenza di conflitto di interessi, con contenuti coerenti all’oggetto dell’aggiudicazione e conformi alla normativa vigente.</w:t>
      </w:r>
    </w:p>
    <w:p w:rsidR="00ED6A5B" w:rsidRPr="00ED6A5B" w:rsidRDefault="00ED6A5B" w:rsidP="00ED6A5B">
      <w:pPr>
        <w:jc w:val="both"/>
        <w:rPr>
          <w:b/>
          <w:color w:val="0000FF"/>
          <w:sz w:val="28"/>
          <w:szCs w:val="28"/>
        </w:rPr>
      </w:pPr>
      <w:r w:rsidRPr="00ED6A5B">
        <w:rPr>
          <w:b/>
          <w:color w:val="0000FF"/>
          <w:sz w:val="28"/>
          <w:szCs w:val="28"/>
        </w:rPr>
        <w:t>Dichiarazioni in merito al titolare effettivo e all’assenza di conflitto di interessi nel corso della procedura di gara</w:t>
      </w:r>
    </w:p>
    <w:p w:rsidR="00ED6A5B" w:rsidRDefault="00ED6A5B" w:rsidP="00ED6A5B">
      <w:pPr>
        <w:jc w:val="both"/>
      </w:pPr>
      <w:r>
        <w:t xml:space="preserve">Conformemente a quanto previsto dall’articolo 42, Codice Appalti, il </w:t>
      </w:r>
      <w:r w:rsidRPr="00ED6A5B">
        <w:rPr>
          <w:b/>
        </w:rPr>
        <w:t>RUP</w:t>
      </w:r>
      <w:r>
        <w:t xml:space="preserve"> deve:</w:t>
      </w:r>
    </w:p>
    <w:p w:rsidR="00ED6A5B" w:rsidRDefault="00ED6A5B" w:rsidP="00ED6A5B">
      <w:pPr>
        <w:jc w:val="both"/>
      </w:pPr>
      <w:r>
        <w:t>- accertarsi che il personale (sia interno che esterno alla stazione appaltante) direttamente coinvolto nelle specifiche fasi di una procedura d’appalto pubblico (preparazione, elaborazione, attuazione o chiusura, ad esempio: RUP stesso, membri dei comitati/commissioni di valutazione, personale che contribuisce alla preparazione/stesura della documentazione di gara) abbia rilasciato al responsabile della procedura d’appalto una dichiarazione attestante l’assenza di conflitto di interessi e di situazioni di incompatibilità;</w:t>
      </w:r>
    </w:p>
    <w:p w:rsidR="00ED6A5B" w:rsidRDefault="00ED6A5B" w:rsidP="00ED6A5B">
      <w:pPr>
        <w:jc w:val="both"/>
      </w:pPr>
      <w:r>
        <w:t>- verificare la correttezza formale delle dichiarazioni - accertandosi che le dichiarazioni in ordine all’assenza di conflitto di interessi siano state rese e sottoscritte da parte del soggetto in capo a cui ricade effettivamente l’onere per legge della produzione delle DSAN;</w:t>
      </w:r>
    </w:p>
    <w:p w:rsidR="00ED6A5B" w:rsidRDefault="00ED6A5B" w:rsidP="00ED6A5B">
      <w:pPr>
        <w:jc w:val="both"/>
      </w:pPr>
      <w:r>
        <w:t>- verificare la conformità delle dichiarazioni alla normativa vigente, assicurandosi che le stesse siano state rese nella forma della dichiarazione sostitutiva di atto di notorietà e di certificazione ai sensi degli articoli 46 e 47, D.P.R. 28 dicembre 2000, n. 445 e che siano coerenti con quanto richiesto dalla normativa vigente avuto riguardo sia al contenuto specifico che alle tempistiche di presentazione;</w:t>
      </w:r>
    </w:p>
    <w:p w:rsidR="00ED6A5B" w:rsidRDefault="00ED6A5B" w:rsidP="00ED6A5B">
      <w:pPr>
        <w:jc w:val="both"/>
      </w:pPr>
      <w:r>
        <w:t>- provvedere (eventualmente) alla modifica delle nomine in presenza di situazioni di inconferibilità o incompatibilità dichiarate o comunque di un rischio di conflitto di interessi rilevabile già all’interno della dichiarazione che potrebbe compromettere la procedura.</w:t>
      </w:r>
    </w:p>
    <w:p w:rsidR="001E1813" w:rsidRPr="001E1813" w:rsidRDefault="001E1813" w:rsidP="001E1813">
      <w:pPr>
        <w:jc w:val="both"/>
        <w:rPr>
          <w:b/>
          <w:color w:val="0000FF"/>
          <w:sz w:val="28"/>
          <w:szCs w:val="28"/>
        </w:rPr>
      </w:pPr>
      <w:r w:rsidRPr="001E1813">
        <w:rPr>
          <w:b/>
          <w:color w:val="0000FF"/>
          <w:sz w:val="28"/>
          <w:szCs w:val="28"/>
        </w:rPr>
        <w:t>Verifiche in materia di antiriciclaggio nella fase di stipula del contratto</w:t>
      </w:r>
    </w:p>
    <w:p w:rsidR="001E1813" w:rsidRDefault="001E1813" w:rsidP="001E1813">
      <w:pPr>
        <w:jc w:val="both"/>
      </w:pPr>
      <w:r>
        <w:t>Prima della sottoscrizione del contratto di appalto con il RUP, deve:</w:t>
      </w:r>
    </w:p>
    <w:p w:rsidR="001E1813" w:rsidRDefault="00B5233B" w:rsidP="001E1813">
      <w:pPr>
        <w:jc w:val="both"/>
      </w:pPr>
      <w:r>
        <w:lastRenderedPageBreak/>
        <w:t>-</w:t>
      </w:r>
      <w:r w:rsidR="001E1813">
        <w:t>individuare il “titolare effettivo” dell’aggiudicatario/contraente e adottare misure ragionevoli per verificarne l’identità;</w:t>
      </w:r>
    </w:p>
    <w:p w:rsidR="001E1813" w:rsidRDefault="00B5233B" w:rsidP="001E1813">
      <w:pPr>
        <w:jc w:val="both"/>
      </w:pPr>
      <w:r>
        <w:t>-</w:t>
      </w:r>
      <w:r w:rsidR="001E1813">
        <w:t>verificare il conflitto di interessi utilizzando i dati relativi alla titolarità effettiva dei potenziali aggiudicatari/contraenti.</w:t>
      </w:r>
    </w:p>
    <w:p w:rsidR="001E1813" w:rsidRDefault="001E1813" w:rsidP="001E1813">
      <w:pPr>
        <w:jc w:val="both"/>
      </w:pPr>
      <w:r>
        <w:t>Le modalità di verifica si sostanziano nella raccolta (tramite interrogazione di sistemi informatici, archivi o banche dati) di dati, informazioni e documenti utili ad incrociare ed analizzare le informazioni contenute nelle DSAN (per il conflitto di interessi) e/o nelle altre forme previste (titolarità effettiva) al fine di verificarne la veridicità e la correttezza.</w:t>
      </w:r>
    </w:p>
    <w:p w:rsidR="001E1813" w:rsidRDefault="001E1813" w:rsidP="001E1813">
      <w:pPr>
        <w:jc w:val="both"/>
      </w:pPr>
      <w:r>
        <w:t>Nel caso in cui si faccia ricorso al subappalto, la comunicazione dei dati relativi al titolare effettivo e le relative attività di verifica dovranno essere svolte anche sul soggetto terzo (subappaltatore o subappaltatori) cui l’appaltatore affida, in tutto o in parte, l’esecuzione del lavoro ad esso appaltato. In caso di Raggruppamento Temporaneo di Imprese (RTI) tali controlli vanno eseguiti su tutti gli operatori economici che fanno parte del Raggruppamento.</w:t>
      </w:r>
    </w:p>
    <w:sectPr w:rsidR="001E1813" w:rsidSect="00A9584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hyphenationZone w:val="283"/>
  <w:characterSpacingControl w:val="doNotCompress"/>
  <w:savePreviewPicture/>
  <w:compat/>
  <w:rsids>
    <w:rsidRoot w:val="00B31288"/>
    <w:rsid w:val="000728DE"/>
    <w:rsid w:val="001E1813"/>
    <w:rsid w:val="003560F1"/>
    <w:rsid w:val="003B131E"/>
    <w:rsid w:val="005332B9"/>
    <w:rsid w:val="005C532F"/>
    <w:rsid w:val="007D4921"/>
    <w:rsid w:val="00922FBE"/>
    <w:rsid w:val="00A95843"/>
    <w:rsid w:val="00AB7CD7"/>
    <w:rsid w:val="00B31288"/>
    <w:rsid w:val="00B5233B"/>
    <w:rsid w:val="00CE693F"/>
    <w:rsid w:val="00EB36F1"/>
    <w:rsid w:val="00ED6A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9584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641</Words>
  <Characters>3655</Characters>
  <Application>Microsoft Office Word</Application>
  <DocSecurity>0</DocSecurity>
  <Lines>30</Lines>
  <Paragraphs>8</Paragraphs>
  <ScaleCrop>false</ScaleCrop>
  <Company/>
  <LinksUpToDate>false</LinksUpToDate>
  <CharactersWithSpaces>4288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D'Alfonso</dc:creator>
  <cp:lastModifiedBy>m.mazzei</cp:lastModifiedBy>
  <cp:revision>2</cp:revision>
  <dcterms:created xsi:type="dcterms:W3CDTF">2024-04-08T08:46:00Z</dcterms:created>
  <dcterms:modified xsi:type="dcterms:W3CDTF">2024-04-08T08:46:00Z</dcterms:modified>
</cp:coreProperties>
</file>