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rPr>
      </w:pPr>
      <w:r>
        <w:rPr>
          <w:rFonts w:ascii="Times New Roman" w:hAnsi="Times New Roman"/>
          <w:sz w:val="24"/>
          <w:szCs w:val="24"/>
        </w:rPr>
        <w:t>ALLEGATO F</w:t>
      </w:r>
    </w:p>
    <w:p>
      <w:pPr>
        <w:pStyle w:val="Normal"/>
        <w:spacing w:lineRule="auto" w:line="360"/>
        <w:jc w:val="center"/>
        <w:rPr>
          <w:rFonts w:ascii="Times New Roman" w:hAnsi="Times New Roman"/>
        </w:rPr>
      </w:pPr>
      <w:r>
        <w:rPr>
          <w:rFonts w:ascii="Times New Roman" w:hAnsi="Times New Roman"/>
          <w:i/>
          <w:iCs/>
          <w:sz w:val="60"/>
          <w:szCs w:val="60"/>
        </w:rPr>
        <w:t>DISCIPLINARE</w:t>
      </w:r>
    </w:p>
    <w:p>
      <w:pPr>
        <w:pStyle w:val="Normal"/>
        <w:spacing w:lineRule="auto" w:line="360"/>
        <w:jc w:val="center"/>
        <w:rPr>
          <w:rFonts w:ascii="Times New Roman" w:hAnsi="Times New Roman"/>
        </w:rPr>
      </w:pPr>
      <w:bookmarkStart w:id="0" w:name="_Hlk184738246"/>
      <w:r>
        <w:rPr>
          <w:rFonts w:ascii="Times New Roman" w:hAnsi="Times New Roman"/>
          <w:i/>
          <w:iCs/>
          <w:sz w:val="60"/>
          <w:szCs w:val="60"/>
        </w:rPr>
        <w:t>“</w:t>
      </w:r>
      <w:r>
        <w:rPr>
          <w:rFonts w:eastAsia="Times New Roman" w:ascii="Times New Roman" w:hAnsi="Times New Roman"/>
          <w:i/>
          <w:iCs/>
          <w:caps/>
          <w:sz w:val="60"/>
          <w:szCs w:val="60"/>
        </w:rPr>
        <w:t>servizio di supporto nella gestione dei parcheggi pubblici a pagamento -</w:t>
      </w:r>
      <w:r>
        <w:rPr>
          <w:rFonts w:ascii="Times New Roman" w:hAnsi="Times New Roman"/>
          <w:i/>
          <w:iCs/>
          <w:sz w:val="60"/>
          <w:szCs w:val="60"/>
        </w:rPr>
        <w:t xml:space="preserve"> </w:t>
      </w:r>
      <w:bookmarkEnd w:id="0"/>
      <w:r>
        <w:rPr>
          <w:rFonts w:ascii="Times New Roman" w:hAnsi="Times New Roman"/>
          <w:i/>
          <w:iCs/>
          <w:sz w:val="60"/>
          <w:szCs w:val="60"/>
        </w:rPr>
        <w:t>01/07/2026-31/12/2026”</w:t>
      </w:r>
    </w:p>
    <w:p>
      <w:pPr>
        <w:pStyle w:val="Normal"/>
        <w:jc w:val="center"/>
        <w:rPr>
          <w:sz w:val="60"/>
          <w:szCs w:val="60"/>
        </w:rPr>
      </w:pPr>
      <w:r>
        <w:rPr>
          <w:sz w:val="60"/>
          <w:szCs w:val="60"/>
        </w:rPr>
      </w:r>
    </w:p>
    <w:p>
      <w:pPr>
        <w:pStyle w:val="Normal"/>
        <w:spacing w:lineRule="auto" w:line="360" w:before="144" w:after="0"/>
        <w:jc w:val="right"/>
        <w:rPr/>
      </w:pPr>
      <w:r>
        <w:rPr/>
      </w:r>
    </w:p>
    <w:p>
      <w:pPr>
        <w:pStyle w:val="Normal"/>
        <w:jc w:val="right"/>
        <w:rPr/>
      </w:pPr>
      <w:r>
        <w:rPr/>
      </w:r>
      <w:r>
        <w:br w:type="page"/>
      </w:r>
    </w:p>
    <w:p>
      <w:pPr>
        <w:pStyle w:val="Normal"/>
        <w:spacing w:before="0" w:after="0"/>
        <w:rPr>
          <w:rFonts w:ascii="Calibri" w:hAnsi="Calibri"/>
        </w:rPr>
      </w:pPr>
      <w:r>
        <w:rPr>
          <w:b/>
          <w:bCs/>
          <w:sz w:val="32"/>
          <w:szCs w:val="32"/>
        </w:rPr>
        <w:t>Indice</w:t>
      </w:r>
    </w:p>
    <w:p>
      <w:pPr>
        <w:pStyle w:val="Normal"/>
        <w:rPr>
          <w:rFonts w:ascii="Calibri" w:hAnsi="Calibri"/>
        </w:rPr>
      </w:pPr>
      <w:r>
        <w:rPr/>
      </w:r>
    </w:p>
    <w:p>
      <w:pPr>
        <w:pStyle w:val="Normal"/>
        <w:ind w:left="708"/>
        <w:rPr>
          <w:rFonts w:ascii="Calibri" w:hAnsi="Calibri"/>
        </w:rPr>
      </w:pPr>
      <w:r>
        <w:rPr>
          <w:sz w:val="24"/>
          <w:szCs w:val="24"/>
        </w:rPr>
        <w:t xml:space="preserve">1 Disposizioni generali </w:t>
      </w:r>
    </w:p>
    <w:p>
      <w:pPr>
        <w:pStyle w:val="Normal"/>
        <w:ind w:left="708"/>
        <w:rPr>
          <w:rFonts w:ascii="Calibri" w:hAnsi="Calibri"/>
        </w:rPr>
      </w:pPr>
      <w:r>
        <w:rPr>
          <w:sz w:val="24"/>
          <w:szCs w:val="24"/>
        </w:rPr>
        <w:t xml:space="preserve">2 Oggetto del servizio </w:t>
      </w:r>
    </w:p>
    <w:p>
      <w:pPr>
        <w:pStyle w:val="Normal"/>
        <w:ind w:left="708"/>
        <w:rPr>
          <w:rFonts w:ascii="Calibri" w:hAnsi="Calibri"/>
        </w:rPr>
      </w:pPr>
      <w:r>
        <w:rPr>
          <w:sz w:val="24"/>
          <w:szCs w:val="24"/>
        </w:rPr>
        <w:t xml:space="preserve">3 Durata del servizio </w:t>
      </w:r>
    </w:p>
    <w:p>
      <w:pPr>
        <w:pStyle w:val="Normal"/>
        <w:ind w:left="708"/>
        <w:rPr>
          <w:rFonts w:ascii="Calibri" w:hAnsi="Calibri"/>
        </w:rPr>
      </w:pPr>
      <w:r>
        <w:rPr>
          <w:sz w:val="24"/>
          <w:szCs w:val="24"/>
        </w:rPr>
        <w:t>4 Estensione territoriale</w:t>
      </w:r>
    </w:p>
    <w:p>
      <w:pPr>
        <w:pStyle w:val="Normal"/>
        <w:ind w:left="708"/>
        <w:rPr>
          <w:rFonts w:ascii="Calibri" w:hAnsi="Calibri"/>
        </w:rPr>
      </w:pPr>
      <w:r>
        <w:rPr>
          <w:sz w:val="24"/>
          <w:szCs w:val="24"/>
        </w:rPr>
        <w:t>5 Caratteristiche del servizio</w:t>
      </w:r>
    </w:p>
    <w:p>
      <w:pPr>
        <w:pStyle w:val="Normal"/>
        <w:ind w:left="708"/>
        <w:rPr>
          <w:rFonts w:ascii="Calibri" w:hAnsi="Calibri"/>
        </w:rPr>
      </w:pPr>
      <w:r>
        <w:rPr>
          <w:sz w:val="24"/>
          <w:szCs w:val="24"/>
        </w:rPr>
        <w:t>6 Livelli minimi del servizio</w:t>
      </w:r>
    </w:p>
    <w:p>
      <w:pPr>
        <w:pStyle w:val="Normal"/>
        <w:ind w:left="1416"/>
        <w:rPr>
          <w:rFonts w:ascii="Calibri" w:hAnsi="Calibri"/>
        </w:rPr>
      </w:pPr>
      <w:r>
        <w:rPr>
          <w:sz w:val="24"/>
          <w:szCs w:val="24"/>
        </w:rPr>
        <w:t>6.1 Attività ordinarie</w:t>
      </w:r>
    </w:p>
    <w:p>
      <w:pPr>
        <w:pStyle w:val="Normal"/>
        <w:ind w:left="1416"/>
        <w:rPr>
          <w:rFonts w:ascii="Calibri" w:hAnsi="Calibri"/>
        </w:rPr>
      </w:pPr>
      <w:r>
        <w:rPr>
          <w:sz w:val="24"/>
          <w:szCs w:val="24"/>
        </w:rPr>
        <w:t>6.2 Ulteriori specifiche</w:t>
      </w:r>
    </w:p>
    <w:p>
      <w:pPr>
        <w:pStyle w:val="Normal"/>
        <w:ind w:left="1416"/>
        <w:rPr>
          <w:rFonts w:ascii="Calibri" w:hAnsi="Calibri"/>
        </w:rPr>
      </w:pPr>
      <w:r>
        <w:rPr>
          <w:sz w:val="24"/>
          <w:szCs w:val="24"/>
        </w:rPr>
        <w:t>6.3 Personale adibito al servizio</w:t>
      </w:r>
    </w:p>
    <w:p>
      <w:pPr>
        <w:pStyle w:val="Normal"/>
        <w:ind w:left="708"/>
        <w:rPr>
          <w:rFonts w:ascii="Calibri" w:hAnsi="Calibri"/>
        </w:rPr>
      </w:pPr>
      <w:r>
        <w:rPr>
          <w:sz w:val="24"/>
          <w:szCs w:val="24"/>
        </w:rPr>
        <w:t>7 Organizzazione del servizio</w:t>
      </w:r>
    </w:p>
    <w:p>
      <w:pPr>
        <w:pStyle w:val="Normal"/>
        <w:ind w:left="708"/>
        <w:rPr>
          <w:rFonts w:ascii="Calibri" w:hAnsi="Calibri"/>
        </w:rPr>
      </w:pPr>
      <w:r>
        <w:rPr>
          <w:sz w:val="24"/>
          <w:szCs w:val="24"/>
        </w:rPr>
        <w:t>8 Piano per la qualità del servizio</w:t>
      </w:r>
    </w:p>
    <w:p>
      <w:pPr>
        <w:pStyle w:val="Normal"/>
        <w:ind w:left="708"/>
        <w:rPr>
          <w:rFonts w:ascii="Calibri" w:hAnsi="Calibri"/>
        </w:rPr>
      </w:pPr>
      <w:r>
        <w:rPr>
          <w:sz w:val="24"/>
          <w:szCs w:val="24"/>
        </w:rPr>
        <w:t>9 Piano di gestione delle interruzioni del servizio</w:t>
      </w:r>
    </w:p>
    <w:p>
      <w:pPr>
        <w:pStyle w:val="Normal"/>
        <w:ind w:left="708"/>
        <w:rPr>
          <w:rFonts w:ascii="Calibri" w:hAnsi="Calibri"/>
        </w:rPr>
      </w:pPr>
      <w:r>
        <w:rPr>
          <w:sz w:val="24"/>
          <w:szCs w:val="24"/>
        </w:rPr>
        <w:t>10 Regime dei lavori</w:t>
      </w:r>
    </w:p>
    <w:p>
      <w:pPr>
        <w:pStyle w:val="Normal"/>
        <w:ind w:left="1416"/>
        <w:rPr>
          <w:rFonts w:ascii="Calibri" w:hAnsi="Calibri"/>
        </w:rPr>
      </w:pPr>
      <w:r>
        <w:rPr>
          <w:sz w:val="24"/>
          <w:szCs w:val="24"/>
        </w:rPr>
        <w:t>10.1 Lavori di manutenzione e riparazione ordinaria</w:t>
      </w:r>
    </w:p>
    <w:p>
      <w:pPr>
        <w:pStyle w:val="Normal"/>
        <w:ind w:left="1416"/>
        <w:rPr>
          <w:rFonts w:ascii="Calibri" w:hAnsi="Calibri"/>
        </w:rPr>
      </w:pPr>
      <w:r>
        <w:rPr>
          <w:sz w:val="24"/>
          <w:szCs w:val="24"/>
        </w:rPr>
        <w:t>10.2 Lavori di manutenzione e riparazione straordinaria</w:t>
      </w:r>
    </w:p>
    <w:p>
      <w:pPr>
        <w:pStyle w:val="Normal"/>
        <w:ind w:left="708"/>
        <w:rPr>
          <w:rFonts w:ascii="Calibri" w:hAnsi="Calibri"/>
        </w:rPr>
      </w:pPr>
      <w:r>
        <w:rPr>
          <w:sz w:val="24"/>
          <w:szCs w:val="24"/>
        </w:rPr>
        <w:t>11 Flusso informativo tra Gestore e Comune</w:t>
      </w:r>
    </w:p>
    <w:p>
      <w:pPr>
        <w:pStyle w:val="Normal"/>
        <w:ind w:left="1416"/>
        <w:rPr>
          <w:rFonts w:ascii="Calibri" w:hAnsi="Calibri"/>
        </w:rPr>
      </w:pPr>
      <w:r>
        <w:rPr>
          <w:sz w:val="24"/>
          <w:szCs w:val="24"/>
        </w:rPr>
        <w:t>11.1 Comunicazione dati sul servizio</w:t>
      </w:r>
    </w:p>
    <w:p>
      <w:pPr>
        <w:pStyle w:val="Normal"/>
        <w:ind w:left="708"/>
        <w:rPr>
          <w:rFonts w:ascii="Calibri" w:hAnsi="Calibri"/>
        </w:rPr>
      </w:pPr>
      <w:r>
        <w:rPr>
          <w:sz w:val="24"/>
          <w:szCs w:val="24"/>
        </w:rPr>
        <w:tab/>
        <w:t>11.2 Fattori di qualità dei servizi offerti</w:t>
      </w:r>
    </w:p>
    <w:p>
      <w:pPr>
        <w:pStyle w:val="Normal"/>
        <w:ind w:left="1416"/>
        <w:rPr>
          <w:rFonts w:ascii="Calibri" w:hAnsi="Calibri"/>
        </w:rPr>
      </w:pPr>
      <w:r>
        <w:rPr>
          <w:sz w:val="24"/>
          <w:szCs w:val="24"/>
        </w:rPr>
        <w:t xml:space="preserve">11.3 Rendicontazione dettagliata per voci di ricavo, di costo e per bilancio </w:t>
      </w:r>
    </w:p>
    <w:p>
      <w:pPr>
        <w:pStyle w:val="Normal"/>
        <w:ind w:left="708"/>
        <w:rPr>
          <w:rFonts w:ascii="Calibri" w:hAnsi="Calibri"/>
        </w:rPr>
      </w:pPr>
      <w:r>
        <w:rPr>
          <w:sz w:val="24"/>
          <w:szCs w:val="24"/>
        </w:rPr>
        <w:t>12 Corrispettivo</w:t>
      </w:r>
    </w:p>
    <w:p>
      <w:pPr>
        <w:pStyle w:val="Normal"/>
        <w:ind w:left="708"/>
        <w:rPr>
          <w:rFonts w:ascii="Calibri" w:hAnsi="Calibri"/>
          <w:sz w:val="24"/>
          <w:szCs w:val="24"/>
        </w:rPr>
      </w:pPr>
      <w:r>
        <w:rPr>
          <w:sz w:val="24"/>
          <w:szCs w:val="24"/>
        </w:rPr>
      </w:r>
    </w:p>
    <w:p>
      <w:pPr>
        <w:pStyle w:val="Normal"/>
        <w:ind w:left="708"/>
        <w:rPr>
          <w:rFonts w:ascii="Calibri" w:hAnsi="Calibri"/>
          <w:sz w:val="24"/>
          <w:szCs w:val="24"/>
        </w:rPr>
      </w:pPr>
      <w:r>
        <w:rPr>
          <w:sz w:val="24"/>
          <w:szCs w:val="24"/>
        </w:rPr>
      </w:r>
    </w:p>
    <w:p>
      <w:pPr>
        <w:pStyle w:val="Normal"/>
        <w:ind w:left="708"/>
        <w:rPr>
          <w:rFonts w:ascii="Calibri" w:hAnsi="Calibri"/>
          <w:sz w:val="24"/>
          <w:szCs w:val="24"/>
        </w:rPr>
      </w:pPr>
      <w:r>
        <w:rPr>
          <w:sz w:val="24"/>
          <w:szCs w:val="24"/>
        </w:rPr>
      </w:r>
    </w:p>
    <w:p>
      <w:pPr>
        <w:pStyle w:val="Normal"/>
        <w:ind w:left="708"/>
        <w:rPr>
          <w:rFonts w:ascii="Calibri" w:hAnsi="Calibri"/>
          <w:sz w:val="24"/>
          <w:szCs w:val="24"/>
        </w:rPr>
      </w:pPr>
      <w:r>
        <w:rPr>
          <w:sz w:val="24"/>
          <w:szCs w:val="24"/>
        </w:rPr>
      </w:r>
    </w:p>
    <w:p>
      <w:pPr>
        <w:pStyle w:val="Normal"/>
        <w:ind w:left="708"/>
        <w:rPr>
          <w:rFonts w:ascii="Calibri" w:hAnsi="Calibri"/>
          <w:sz w:val="24"/>
          <w:szCs w:val="24"/>
        </w:rPr>
      </w:pPr>
      <w:r>
        <w:rPr>
          <w:sz w:val="24"/>
          <w:szCs w:val="24"/>
        </w:rPr>
      </w:r>
      <w:r>
        <w:br w:type="page"/>
      </w:r>
    </w:p>
    <w:p>
      <w:pPr>
        <w:pStyle w:val="Normal"/>
        <w:spacing w:lineRule="auto" w:line="360" w:before="0" w:after="0"/>
        <w:jc w:val="both"/>
        <w:rPr>
          <w:rFonts w:ascii="Calibri" w:hAnsi="Calibri"/>
        </w:rPr>
      </w:pPr>
      <w:r>
        <w:rPr>
          <w:b/>
          <w:bCs/>
          <w:sz w:val="24"/>
          <w:szCs w:val="24"/>
        </w:rPr>
        <w:tab/>
        <w:t>1 Disposizioni generali</w:t>
      </w:r>
    </w:p>
    <w:p>
      <w:pPr>
        <w:pStyle w:val="Normal"/>
        <w:jc w:val="both"/>
        <w:rPr>
          <w:rFonts w:ascii="Calibri" w:hAnsi="Calibri"/>
        </w:rPr>
      </w:pPr>
      <w:r>
        <w:rPr>
          <w:sz w:val="24"/>
          <w:szCs w:val="24"/>
        </w:rPr>
        <w:t xml:space="preserve">Il presente Disciplinare ha per oggetto il rapporto, in funzione della gestione del Servizio di supporto nella gestione dei parcheggi pubblici a pagamento, tra la società Marciana Civitas s.r.l. e l'Ente. </w:t>
      </w:r>
    </w:p>
    <w:p>
      <w:pPr>
        <w:pStyle w:val="Normal"/>
        <w:jc w:val="both"/>
        <w:rPr>
          <w:rFonts w:ascii="Calibri" w:hAnsi="Calibri"/>
        </w:rPr>
      </w:pPr>
      <w:r>
        <w:rPr>
          <w:sz w:val="24"/>
          <w:szCs w:val="24"/>
        </w:rPr>
        <w:t>Il Disciplinare è allegato e parte integrante del contratto e del capitolato speciale d’appalto, quali atti che regolano il rapporto tra le parti.</w:t>
      </w:r>
    </w:p>
    <w:p>
      <w:pPr>
        <w:pStyle w:val="Normal"/>
        <w:jc w:val="both"/>
        <w:rPr>
          <w:rFonts w:ascii="Calibri" w:hAnsi="Calibri"/>
          <w:sz w:val="24"/>
          <w:szCs w:val="24"/>
        </w:rPr>
      </w:pPr>
      <w:r>
        <w:rPr>
          <w:sz w:val="24"/>
          <w:szCs w:val="24"/>
        </w:rPr>
      </w:r>
    </w:p>
    <w:p>
      <w:pPr>
        <w:pStyle w:val="Normal"/>
        <w:spacing w:lineRule="auto" w:line="360"/>
        <w:jc w:val="both"/>
        <w:rPr>
          <w:rFonts w:ascii="Calibri" w:hAnsi="Calibri"/>
        </w:rPr>
      </w:pPr>
      <w:r>
        <w:rPr>
          <w:sz w:val="24"/>
          <w:szCs w:val="24"/>
        </w:rPr>
        <w:tab/>
      </w:r>
      <w:r>
        <w:rPr>
          <w:b/>
          <w:bCs/>
          <w:sz w:val="24"/>
          <w:szCs w:val="24"/>
        </w:rPr>
        <w:t>2 Oggetto del servizio</w:t>
      </w:r>
    </w:p>
    <w:p>
      <w:pPr>
        <w:pStyle w:val="Normal"/>
        <w:jc w:val="both"/>
        <w:rPr>
          <w:rFonts w:ascii="Calibri" w:hAnsi="Calibri"/>
        </w:rPr>
      </w:pPr>
      <w:r>
        <w:rPr>
          <w:rFonts w:eastAsia="Aptos"/>
          <w:sz w:val="24"/>
          <w:szCs w:val="24"/>
        </w:rPr>
        <w:t>Il presente servizio, che comprende attività ordinarie, consiste nel servizio di supporto nella gestione dei parcheggi pubblici a pagamento senza custodia dei veicoli.</w:t>
      </w:r>
    </w:p>
    <w:p>
      <w:pPr>
        <w:pStyle w:val="Normal"/>
        <w:jc w:val="both"/>
        <w:rPr>
          <w:rFonts w:ascii="Calibri" w:hAnsi="Calibri"/>
          <w:sz w:val="24"/>
          <w:szCs w:val="24"/>
        </w:rPr>
      </w:pPr>
      <w:r>
        <w:rPr>
          <w:sz w:val="24"/>
          <w:szCs w:val="24"/>
        </w:rPr>
      </w:r>
    </w:p>
    <w:p>
      <w:pPr>
        <w:pStyle w:val="Normal"/>
        <w:spacing w:lineRule="auto" w:line="360"/>
        <w:jc w:val="both"/>
        <w:rPr>
          <w:rFonts w:ascii="Calibri" w:hAnsi="Calibri"/>
        </w:rPr>
      </w:pPr>
      <w:r>
        <w:rPr>
          <w:sz w:val="24"/>
          <w:szCs w:val="24"/>
        </w:rPr>
        <w:tab/>
      </w:r>
      <w:r>
        <w:rPr>
          <w:b/>
          <w:bCs/>
          <w:sz w:val="24"/>
          <w:szCs w:val="24"/>
        </w:rPr>
        <w:t>3 Durata del servizio</w:t>
      </w:r>
    </w:p>
    <w:p>
      <w:pPr>
        <w:pStyle w:val="Normal"/>
        <w:jc w:val="both"/>
        <w:rPr>
          <w:rFonts w:ascii="Calibri" w:hAnsi="Calibri"/>
        </w:rPr>
      </w:pPr>
      <w:r>
        <w:rPr>
          <w:sz w:val="24"/>
          <w:szCs w:val="24"/>
        </w:rPr>
        <w:t>Il servizio è da intendersi stagionale, per il periodo che va dal 01 luglio al 30 settembre 2026. Tuttavia, sia il periodo che la cadenza hanno carattere indicativo, potendo essere modulati in base alle effettive esigenze.</w:t>
      </w:r>
    </w:p>
    <w:p>
      <w:pPr>
        <w:pStyle w:val="Normal"/>
        <w:jc w:val="both"/>
        <w:rPr>
          <w:rFonts w:ascii="Calibri" w:hAnsi="Calibri"/>
          <w:color w:val="000000"/>
        </w:rPr>
      </w:pPr>
      <w:r>
        <w:rPr>
          <w:color w:val="000000"/>
        </w:rPr>
      </w:r>
    </w:p>
    <w:p>
      <w:pPr>
        <w:pStyle w:val="Normal"/>
        <w:spacing w:lineRule="auto" w:line="360"/>
        <w:rPr>
          <w:rFonts w:ascii="Calibri" w:hAnsi="Calibri"/>
        </w:rPr>
      </w:pPr>
      <w:r>
        <w:rPr>
          <w:color w:val="000000"/>
          <w:sz w:val="24"/>
          <w:szCs w:val="24"/>
        </w:rPr>
        <w:tab/>
      </w:r>
      <w:r>
        <w:rPr>
          <w:b/>
          <w:bCs/>
          <w:color w:val="000000"/>
          <w:sz w:val="24"/>
          <w:szCs w:val="24"/>
        </w:rPr>
        <w:t>4 Estensione territoriale</w:t>
      </w:r>
    </w:p>
    <w:p>
      <w:pPr>
        <w:pStyle w:val="Normal"/>
        <w:jc w:val="both"/>
        <w:rPr>
          <w:rFonts w:ascii="Calibri" w:hAnsi="Calibri"/>
        </w:rPr>
      </w:pPr>
      <w:r>
        <w:rPr>
          <w:sz w:val="24"/>
          <w:szCs w:val="24"/>
        </w:rPr>
        <w:t>Il</w:t>
      </w:r>
      <w:r>
        <w:rPr>
          <w:rFonts w:eastAsia="Aptos"/>
          <w:sz w:val="24"/>
          <w:szCs w:val="24"/>
        </w:rPr>
        <w:t xml:space="preserve"> servizio di supporto nella gestione dei parcheggi pubblici a pagamento senza custodia dei veicoli nel Comune di Marciana si svolge su tutti i parcheggi pubblici a pagamento così distribuiti sul territorio:</w:t>
      </w:r>
    </w:p>
    <w:p>
      <w:pPr>
        <w:pStyle w:val="ListParagraph"/>
        <w:numPr>
          <w:ilvl w:val="0"/>
          <w:numId w:val="2"/>
        </w:numPr>
        <w:jc w:val="both"/>
        <w:rPr>
          <w:rFonts w:ascii="Calibri" w:hAnsi="Calibri"/>
        </w:rPr>
      </w:pPr>
      <w:r>
        <w:rPr>
          <w:rFonts w:eastAsia="Aptos"/>
          <w:sz w:val="24"/>
          <w:szCs w:val="24"/>
        </w:rPr>
        <w:t>Marciana – Piazza For di Porta  – Via Provinci</w:t>
      </w:r>
      <w:r>
        <w:rPr>
          <w:rFonts w:eastAsia="Aptos" w:cs="Calibri"/>
          <w:kern w:val="0"/>
          <w:sz w:val="24"/>
          <w:szCs w:val="24"/>
        </w:rPr>
        <w:t xml:space="preserve">ale per Pomonte - Parcheggio sopraelevato </w:t>
      </w:r>
      <w:r>
        <w:rPr>
          <w:rFonts w:eastAsia="Aptos" w:cs="Calibri"/>
          <w:kern w:val="0"/>
          <w:sz w:val="24"/>
          <w:szCs w:val="24"/>
        </w:rPr>
        <w:t>(</w:t>
      </w:r>
      <w:r>
        <w:rPr>
          <w:rFonts w:eastAsia="Aptos" w:cs="Calibri"/>
          <w:kern w:val="0"/>
          <w:sz w:val="24"/>
          <w:szCs w:val="24"/>
        </w:rPr>
        <w:t>Piano Terra</w:t>
      </w:r>
      <w:r>
        <w:rPr>
          <w:rFonts w:eastAsia="Aptos" w:cs="Calibri"/>
          <w:kern w:val="0"/>
          <w:sz w:val="24"/>
          <w:szCs w:val="24"/>
        </w:rPr>
        <w:t>)</w:t>
      </w:r>
      <w:r>
        <w:rPr>
          <w:rFonts w:eastAsia="Aptos" w:cs="Calibri"/>
          <w:kern w:val="0"/>
          <w:sz w:val="24"/>
          <w:szCs w:val="24"/>
        </w:rPr>
        <w:t xml:space="preserve"> – Via del Pozzatello (Cabinovia);</w:t>
      </w:r>
    </w:p>
    <w:p>
      <w:pPr>
        <w:pStyle w:val="ListParagraph"/>
        <w:numPr>
          <w:ilvl w:val="0"/>
          <w:numId w:val="2"/>
        </w:numPr>
        <w:jc w:val="both"/>
        <w:rPr>
          <w:rFonts w:ascii="Calibri" w:hAnsi="Calibri"/>
        </w:rPr>
      </w:pPr>
      <w:r>
        <w:rPr>
          <w:rFonts w:eastAsia="Aptos"/>
          <w:sz w:val="24"/>
          <w:szCs w:val="24"/>
        </w:rPr>
        <w:t>Poggio – Via della Fontanella;</w:t>
      </w:r>
    </w:p>
    <w:p>
      <w:pPr>
        <w:pStyle w:val="ListParagraph"/>
        <w:numPr>
          <w:ilvl w:val="0"/>
          <w:numId w:val="2"/>
        </w:numPr>
        <w:jc w:val="both"/>
        <w:rPr>
          <w:rFonts w:ascii="Calibri" w:hAnsi="Calibri"/>
        </w:rPr>
      </w:pPr>
      <w:r>
        <w:rPr>
          <w:rFonts w:eastAsia="Aptos"/>
          <w:sz w:val="24"/>
          <w:szCs w:val="24"/>
        </w:rPr>
        <w:t>S. Andrea – Via dei Prati –  Piazza Capo S. Andrea;</w:t>
      </w:r>
    </w:p>
    <w:p>
      <w:pPr>
        <w:pStyle w:val="ListParagraph"/>
        <w:numPr>
          <w:ilvl w:val="0"/>
          <w:numId w:val="2"/>
        </w:numPr>
        <w:jc w:val="both"/>
        <w:rPr>
          <w:rFonts w:ascii="Calibri" w:hAnsi="Calibri"/>
        </w:rPr>
      </w:pPr>
      <w:r>
        <w:rPr>
          <w:rFonts w:eastAsia="Aptos"/>
          <w:sz w:val="24"/>
          <w:szCs w:val="24"/>
        </w:rPr>
        <w:t>Patresi – Via del Faro;</w:t>
      </w:r>
    </w:p>
    <w:p>
      <w:pPr>
        <w:pStyle w:val="ListParagraph"/>
        <w:numPr>
          <w:ilvl w:val="0"/>
          <w:numId w:val="2"/>
        </w:numPr>
        <w:jc w:val="both"/>
        <w:rPr>
          <w:rFonts w:ascii="Calibri" w:hAnsi="Calibri"/>
        </w:rPr>
      </w:pPr>
      <w:r>
        <w:rPr>
          <w:rFonts w:eastAsia="Aptos"/>
          <w:sz w:val="24"/>
          <w:szCs w:val="24"/>
        </w:rPr>
        <w:t>Procchio – Parch. Teresa Cerutti – Parch. Ammiraglio Dino Gennari – Loc. Campo all’Aia – Via di Spartaia;</w:t>
      </w:r>
    </w:p>
    <w:p>
      <w:pPr>
        <w:pStyle w:val="Normal"/>
        <w:rPr>
          <w:rFonts w:ascii="Calibri" w:hAnsi="Calibri"/>
          <w:color w:val="000000"/>
        </w:rPr>
      </w:pPr>
      <w:r>
        <w:rPr>
          <w:color w:val="000000"/>
        </w:rPr>
      </w:r>
    </w:p>
    <w:p>
      <w:pPr>
        <w:pStyle w:val="Normal"/>
        <w:rPr>
          <w:rFonts w:ascii="Calibri" w:hAnsi="Calibri"/>
          <w:color w:val="000000"/>
        </w:rPr>
      </w:pPr>
      <w:r>
        <w:rPr>
          <w:color w:val="000000"/>
        </w:rPr>
      </w:r>
    </w:p>
    <w:p>
      <w:pPr>
        <w:pStyle w:val="Normal"/>
        <w:spacing w:lineRule="auto" w:line="360"/>
        <w:ind w:left="708"/>
        <w:rPr>
          <w:rFonts w:ascii="Calibri" w:hAnsi="Calibri"/>
        </w:rPr>
      </w:pPr>
      <w:r>
        <w:rPr>
          <w:b/>
          <w:bCs/>
          <w:sz w:val="24"/>
          <w:szCs w:val="24"/>
        </w:rPr>
        <w:t>5 Caratteristiche del servizio</w:t>
      </w:r>
    </w:p>
    <w:p>
      <w:pPr>
        <w:pStyle w:val="Normal"/>
        <w:jc w:val="both"/>
        <w:rPr>
          <w:rFonts w:ascii="Calibri" w:hAnsi="Calibri"/>
        </w:rPr>
      </w:pPr>
      <w:r>
        <w:rPr>
          <w:rFonts w:eastAsia="Aptos"/>
          <w:sz w:val="24"/>
          <w:szCs w:val="24"/>
        </w:rPr>
        <w:t>Il presente servizio, che comprende attività ordinarie, consiste nel servizio di supporto nella gestione dei parcheggi pubblici a pagamento senza custodia dei veicoli, ossia prevenzione, accertamento e irrogazione delle violazioni amministrative inerenti al corretto utilizzo dei dispositivi di controllo della durata della sosta da effettuarsi tramite numero n. 2 “Ausiliari del Traffico”, opportunamente formati ed abilitati allo svolgimento del servizio conformemente alla normativa vigente in materia, per circa n. 287 stalli di sosta a pagamento (di cui 70 privi di segnaletica orizzontale poiché ubicati in un parcheggio sterrato).</w:t>
      </w:r>
    </w:p>
    <w:p>
      <w:pPr>
        <w:pStyle w:val="Normal"/>
        <w:rPr>
          <w:rFonts w:ascii="Calibri" w:hAnsi="Calibri"/>
          <w:sz w:val="24"/>
          <w:szCs w:val="24"/>
        </w:rPr>
      </w:pPr>
      <w:r>
        <w:rPr>
          <w:sz w:val="24"/>
          <w:szCs w:val="24"/>
        </w:rPr>
      </w:r>
    </w:p>
    <w:p>
      <w:pPr>
        <w:pStyle w:val="Normal"/>
        <w:spacing w:lineRule="auto" w:line="360"/>
        <w:ind w:left="708"/>
        <w:jc w:val="both"/>
        <w:rPr>
          <w:rFonts w:ascii="Calibri" w:hAnsi="Calibri"/>
        </w:rPr>
      </w:pPr>
      <w:r>
        <w:rPr>
          <w:b/>
          <w:bCs/>
          <w:sz w:val="24"/>
          <w:szCs w:val="24"/>
        </w:rPr>
        <w:t>6 Livelli minimi del servizio</w:t>
      </w:r>
    </w:p>
    <w:p>
      <w:pPr>
        <w:pStyle w:val="Normal"/>
        <w:jc w:val="both"/>
        <w:rPr>
          <w:rFonts w:ascii="Calibri" w:hAnsi="Calibri"/>
        </w:rPr>
      </w:pPr>
      <w:r>
        <w:rPr>
          <w:sz w:val="24"/>
          <w:szCs w:val="24"/>
        </w:rPr>
        <w:t>Il Gestore garantisce i livelli minimi di servizio di seguito riportati.</w:t>
      </w:r>
    </w:p>
    <w:p>
      <w:pPr>
        <w:pStyle w:val="Normal"/>
        <w:jc w:val="both"/>
        <w:rPr>
          <w:rFonts w:ascii="Calibri" w:hAnsi="Calibri"/>
          <w:sz w:val="24"/>
          <w:szCs w:val="24"/>
        </w:rPr>
      </w:pPr>
      <w:r>
        <w:rPr>
          <w:sz w:val="24"/>
          <w:szCs w:val="24"/>
        </w:rPr>
      </w:r>
    </w:p>
    <w:p>
      <w:pPr>
        <w:pStyle w:val="Normal"/>
        <w:spacing w:lineRule="auto" w:line="360"/>
        <w:jc w:val="both"/>
        <w:rPr>
          <w:rFonts w:ascii="Calibri" w:hAnsi="Calibri"/>
        </w:rPr>
      </w:pPr>
      <w:r>
        <w:rPr>
          <w:b/>
          <w:bCs/>
          <w:sz w:val="24"/>
          <w:szCs w:val="24"/>
        </w:rPr>
        <w:tab/>
        <w:tab/>
        <w:t>6.1 Attività ordinarie</w:t>
      </w:r>
    </w:p>
    <w:p>
      <w:pPr>
        <w:pStyle w:val="Normal"/>
        <w:jc w:val="both"/>
        <w:rPr>
          <w:rFonts w:ascii="Calibri" w:hAnsi="Calibri"/>
        </w:rPr>
      </w:pPr>
      <w:r>
        <w:rPr>
          <w:sz w:val="24"/>
          <w:szCs w:val="24"/>
        </w:rPr>
        <w:t>Il servizio di supporto nella gestione dei parcheggi pubblici a pagamento senza custodia dei veicoli prevede:</w:t>
      </w:r>
    </w:p>
    <w:p>
      <w:pPr>
        <w:pStyle w:val="ListParagraph"/>
        <w:numPr>
          <w:ilvl w:val="0"/>
          <w:numId w:val="1"/>
        </w:numPr>
        <w:jc w:val="both"/>
        <w:rPr>
          <w:rFonts w:ascii="Calibri" w:hAnsi="Calibri"/>
        </w:rPr>
      </w:pPr>
      <w:r>
        <w:rPr>
          <w:sz w:val="24"/>
          <w:szCs w:val="24"/>
        </w:rPr>
        <w:t>Un intervento di primo livello sui dispositivi automatici di controllo della sosta a pagamento (c.d. parcometri) con personale appositamente formato (ricambio carta e manutenzione ordinaria) a necessità dal 01 luglio al 30 settembre 2026;</w:t>
      </w:r>
    </w:p>
    <w:p>
      <w:pPr>
        <w:pStyle w:val="ListParagraph"/>
        <w:numPr>
          <w:ilvl w:val="0"/>
          <w:numId w:val="1"/>
        </w:numPr>
        <w:jc w:val="both"/>
        <w:rPr>
          <w:rFonts w:ascii="Calibri" w:hAnsi="Calibri"/>
        </w:rPr>
      </w:pPr>
      <w:r>
        <w:rPr>
          <w:sz w:val="24"/>
          <w:szCs w:val="24"/>
        </w:rPr>
        <w:t>l’attività di prevenzione, accertamento e irrogazione delle violazioni amministrative inerenti al corretto utilizzo dei dispositivi di controllo della durata della sosta a pagamento,</w:t>
      </w:r>
      <w:r>
        <w:rPr>
          <w:i/>
          <w:iCs/>
          <w:sz w:val="24"/>
          <w:szCs w:val="24"/>
        </w:rPr>
        <w:t xml:space="preserve"> </w:t>
      </w:r>
      <w:r>
        <w:rPr>
          <w:sz w:val="24"/>
          <w:szCs w:val="24"/>
        </w:rPr>
        <w:t>effettuata tramite numero n. 2 “Ausiliari del Traffico” (per complessive 72 ore settimanali)  opportunamente formati ed abilitati allo svolgimento del servizio conformemente alla normativa vigente in materia, per circa numero</w:t>
      </w:r>
      <w:r>
        <w:rPr>
          <w:rFonts w:eastAsia="Aptos"/>
          <w:sz w:val="24"/>
          <w:szCs w:val="24"/>
        </w:rPr>
        <w:t xml:space="preserve"> n. 287 stalli di sosta a pagamento (di cui 70 non delimitati da segnaletica orizzontale poiché ubicati in un parcheggio sterrato)</w:t>
      </w:r>
      <w:r>
        <w:rPr>
          <w:sz w:val="24"/>
          <w:szCs w:val="24"/>
        </w:rPr>
        <w:t xml:space="preserve">. </w:t>
      </w:r>
    </w:p>
    <w:p>
      <w:pPr>
        <w:pStyle w:val="Normal"/>
        <w:ind w:left="360"/>
        <w:jc w:val="both"/>
        <w:rPr>
          <w:rFonts w:ascii="Calibri" w:hAnsi="Calibri"/>
        </w:rPr>
      </w:pPr>
      <w:r>
        <w:rPr>
          <w:sz w:val="24"/>
          <w:szCs w:val="24"/>
        </w:rPr>
        <w:t>Il servizio di supporto nella gestione dei parcheggi pubblici a pagamento senza custodia dei veicoli nel Comune di Marciana si svolge su stalli e posti auto distribuiti, approssimativamente, come nella tabella sotto indicata:</w:t>
      </w:r>
    </w:p>
    <w:p>
      <w:pPr>
        <w:pStyle w:val="ListParagraph"/>
        <w:ind w:left="1080"/>
        <w:jc w:val="both"/>
        <w:rPr>
          <w:rFonts w:ascii="Calibri" w:hAnsi="Calibri"/>
          <w:sz w:val="24"/>
          <w:szCs w:val="24"/>
          <w:shd w:fill="FFFF00" w:val="clear"/>
        </w:rPr>
      </w:pPr>
      <w:r>
        <w:rPr>
          <w:sz w:val="24"/>
          <w:szCs w:val="24"/>
          <w:shd w:fill="FFFF00" w:val="clear"/>
        </w:rPr>
      </w:r>
    </w:p>
    <w:tbl>
      <w:tblPr>
        <w:tblW w:w="5000" w:type="pct"/>
        <w:jc w:val="left"/>
        <w:tblInd w:w="115" w:type="dxa"/>
        <w:tblLayout w:type="fixed"/>
        <w:tblCellMar>
          <w:top w:w="55" w:type="dxa"/>
          <w:left w:w="55" w:type="dxa"/>
          <w:bottom w:w="55" w:type="dxa"/>
          <w:right w:w="55" w:type="dxa"/>
        </w:tblCellMar>
        <w:tblLook w:val="04a0"/>
      </w:tblPr>
      <w:tblGrid>
        <w:gridCol w:w="2396"/>
        <w:gridCol w:w="2421"/>
        <w:gridCol w:w="4821"/>
      </w:tblGrid>
      <w:tr>
        <w:trPr/>
        <w:tc>
          <w:tcPr>
            <w:tcW w:w="2396" w:type="dxa"/>
            <w:tcBorders>
              <w:top w:val="single" w:sz="4" w:space="0" w:color="000000"/>
              <w:left w:val="single" w:sz="4" w:space="0" w:color="000000"/>
              <w:bottom w:val="single" w:sz="4" w:space="0" w:color="000000"/>
            </w:tcBorders>
          </w:tcPr>
          <w:p>
            <w:pPr>
              <w:pStyle w:val="Normal"/>
              <w:jc w:val="center"/>
              <w:rPr>
                <w:rFonts w:ascii="Calibri" w:hAnsi="Calibri"/>
              </w:rPr>
            </w:pPr>
            <w:r>
              <w:rPr>
                <w:color w:val="000000"/>
                <w:sz w:val="16"/>
                <w:szCs w:val="16"/>
              </w:rPr>
              <w:t>Frazione</w:t>
            </w:r>
          </w:p>
        </w:tc>
        <w:tc>
          <w:tcPr>
            <w:tcW w:w="2421" w:type="dxa"/>
            <w:tcBorders>
              <w:top w:val="single" w:sz="4" w:space="0" w:color="000000"/>
              <w:left w:val="single" w:sz="4" w:space="0" w:color="000000"/>
              <w:bottom w:val="single" w:sz="4" w:space="0" w:color="000000"/>
            </w:tcBorders>
          </w:tcPr>
          <w:p>
            <w:pPr>
              <w:pStyle w:val="Normal"/>
              <w:jc w:val="center"/>
              <w:rPr>
                <w:rFonts w:ascii="Calibri" w:hAnsi="Calibri"/>
              </w:rPr>
            </w:pPr>
            <w:r>
              <w:rPr>
                <w:color w:val="000000"/>
                <w:sz w:val="16"/>
                <w:szCs w:val="16"/>
              </w:rPr>
              <w:t>Indirizzo</w:t>
            </w:r>
          </w:p>
        </w:tc>
        <w:tc>
          <w:tcPr>
            <w:tcW w:w="4821"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N.  elementi</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Marciana</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SP 25 (Prov. per Pomonte)</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10</w:t>
            </w:r>
          </w:p>
        </w:tc>
      </w:tr>
      <w:tr>
        <w:trPr/>
        <w:tc>
          <w:tcPr>
            <w:tcW w:w="2396" w:type="dxa"/>
            <w:tcBorders>
              <w:left w:val="single" w:sz="4" w:space="0" w:color="000000"/>
              <w:bottom w:val="single" w:sz="4" w:space="0" w:color="000000"/>
            </w:tcBorders>
          </w:tcPr>
          <w:p>
            <w:pPr>
              <w:pStyle w:val="Normal"/>
              <w:jc w:val="center"/>
              <w:rPr>
                <w:rFonts w:ascii="Calibri" w:hAnsi="Calibri"/>
              </w:rPr>
            </w:pPr>
            <w:r>
              <w:rPr>
                <w:sz w:val="16"/>
                <w:szCs w:val="16"/>
              </w:rPr>
              <w:t>Marciana</w:t>
            </w:r>
          </w:p>
        </w:tc>
        <w:tc>
          <w:tcPr>
            <w:tcW w:w="2421" w:type="dxa"/>
            <w:tcBorders>
              <w:left w:val="single" w:sz="4" w:space="0" w:color="000000"/>
              <w:bottom w:val="single" w:sz="4" w:space="0" w:color="000000"/>
            </w:tcBorders>
          </w:tcPr>
          <w:p>
            <w:pPr>
              <w:pStyle w:val="Normal"/>
              <w:jc w:val="center"/>
              <w:rPr>
                <w:rFonts w:ascii="Calibri" w:hAnsi="Calibri"/>
              </w:rPr>
            </w:pPr>
            <w:r>
              <w:rPr>
                <w:sz w:val="16"/>
                <w:szCs w:val="16"/>
              </w:rPr>
              <w:t>Parcheggio sopraelevato -</w:t>
            </w:r>
            <w:r>
              <w:rPr>
                <w:sz w:val="16"/>
                <w:szCs w:val="16"/>
              </w:rPr>
              <w:t>(</w:t>
            </w:r>
            <w:r>
              <w:rPr>
                <w:sz w:val="16"/>
                <w:szCs w:val="16"/>
              </w:rPr>
              <w:t>Piano Terra</w:t>
            </w:r>
            <w:r>
              <w:rPr>
                <w:sz w:val="16"/>
                <w:szCs w:val="16"/>
              </w:rPr>
              <w:t>)</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sz w:val="16"/>
                <w:szCs w:val="16"/>
              </w:rPr>
              <w:t>23</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Marciana</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Piazza For di Porta</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7</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Marciana</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Via del pozzatello (Cabinovia)</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10</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Poggio</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Via della Fontanella</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15</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Sant’Andrea</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Via dei prati</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52</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Sant’Andrea</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Piazza capo Sant’Andrea</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4</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Patresi</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Parch. Via del faro</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13</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Procchio</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Parch. Ammiraglio Dino Gennari</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27</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Procchio</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Parch. Teresa Cerutti</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31</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Procchio</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Via di Spartaia</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25</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Procchio</w:t>
            </w:r>
          </w:p>
        </w:tc>
        <w:tc>
          <w:tcPr>
            <w:tcW w:w="2421" w:type="dxa"/>
            <w:tcBorders>
              <w:left w:val="single" w:sz="4" w:space="0" w:color="000000"/>
              <w:bottom w:val="single" w:sz="4" w:space="0" w:color="000000"/>
            </w:tcBorders>
          </w:tcPr>
          <w:p>
            <w:pPr>
              <w:pStyle w:val="Normal"/>
              <w:jc w:val="center"/>
              <w:rPr>
                <w:rFonts w:ascii="Calibri" w:hAnsi="Calibri"/>
              </w:rPr>
            </w:pPr>
            <w:r>
              <w:rPr>
                <w:color w:val="000000"/>
                <w:sz w:val="16"/>
                <w:szCs w:val="16"/>
              </w:rPr>
              <w:t>Loc. Campo All'Aia (parcheggio sterrato)</w:t>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70</w:t>
            </w:r>
          </w:p>
        </w:tc>
      </w:tr>
      <w:tr>
        <w:trPr/>
        <w:tc>
          <w:tcPr>
            <w:tcW w:w="2396" w:type="dxa"/>
            <w:tcBorders>
              <w:left w:val="single" w:sz="4" w:space="0" w:color="000000"/>
              <w:bottom w:val="single" w:sz="4" w:space="0" w:color="000000"/>
            </w:tcBorders>
          </w:tcPr>
          <w:p>
            <w:pPr>
              <w:pStyle w:val="Normal"/>
              <w:jc w:val="center"/>
              <w:rPr>
                <w:rFonts w:ascii="Calibri" w:hAnsi="Calibri"/>
              </w:rPr>
            </w:pPr>
            <w:r>
              <w:rPr>
                <w:color w:val="000000"/>
                <w:sz w:val="16"/>
                <w:szCs w:val="16"/>
              </w:rPr>
              <w:t>Totale</w:t>
            </w:r>
          </w:p>
        </w:tc>
        <w:tc>
          <w:tcPr>
            <w:tcW w:w="2421" w:type="dxa"/>
            <w:tcBorders>
              <w:left w:val="single" w:sz="4" w:space="0" w:color="000000"/>
              <w:bottom w:val="single" w:sz="4" w:space="0" w:color="000000"/>
            </w:tcBorders>
          </w:tcPr>
          <w:p>
            <w:pPr>
              <w:pStyle w:val="Contenutotabella"/>
              <w:jc w:val="center"/>
              <w:rPr>
                <w:rFonts w:ascii="Calibri" w:hAnsi="Calibri"/>
                <w:sz w:val="16"/>
                <w:szCs w:val="16"/>
              </w:rPr>
            </w:pPr>
            <w:r>
              <w:rPr>
                <w:sz w:val="16"/>
                <w:szCs w:val="16"/>
              </w:rPr>
            </w:r>
          </w:p>
        </w:tc>
        <w:tc>
          <w:tcPr>
            <w:tcW w:w="4821" w:type="dxa"/>
            <w:tcBorders>
              <w:left w:val="single" w:sz="4" w:space="0" w:color="000000"/>
              <w:bottom w:val="single" w:sz="4" w:space="0" w:color="000000"/>
              <w:right w:val="single" w:sz="4" w:space="0" w:color="000000"/>
            </w:tcBorders>
          </w:tcPr>
          <w:p>
            <w:pPr>
              <w:pStyle w:val="Normal"/>
              <w:jc w:val="center"/>
              <w:rPr>
                <w:rFonts w:ascii="Calibri" w:hAnsi="Calibri"/>
              </w:rPr>
            </w:pPr>
            <w:r>
              <w:rPr>
                <w:color w:val="000000"/>
                <w:sz w:val="16"/>
                <w:szCs w:val="16"/>
              </w:rPr>
              <w:t>287</w:t>
            </w:r>
          </w:p>
        </w:tc>
      </w:tr>
    </w:tbl>
    <w:p>
      <w:pPr>
        <w:pStyle w:val="Normal"/>
        <w:rPr>
          <w:rFonts w:ascii="Calibri" w:hAnsi="Calibri"/>
          <w:sz w:val="24"/>
          <w:szCs w:val="24"/>
          <w:shd w:fill="FFFF00" w:val="clear"/>
        </w:rPr>
      </w:pPr>
      <w:r>
        <w:rPr>
          <w:sz w:val="24"/>
          <w:szCs w:val="24"/>
          <w:shd w:fill="FFFF00" w:val="clear"/>
        </w:rPr>
      </w:r>
    </w:p>
    <w:p>
      <w:pPr>
        <w:pStyle w:val="ListParagraph"/>
        <w:ind w:left="0"/>
        <w:jc w:val="both"/>
        <w:rPr>
          <w:rFonts w:ascii="Calibri" w:hAnsi="Calibri"/>
        </w:rPr>
      </w:pPr>
      <w:r>
        <w:rPr>
          <w:sz w:val="24"/>
          <w:szCs w:val="24"/>
        </w:rPr>
        <w:t>La società appaltatrice dovrà garantire un servizio di copertura nella fascia oraria 10:00/19:00 sull’intero territorio comunale per periodi 01 luglio/30 settembre 2026, da concordare con il Referente individuato all’interno della Polizia Municipale.</w:t>
      </w:r>
    </w:p>
    <w:p>
      <w:pPr>
        <w:pStyle w:val="Normal"/>
        <w:jc w:val="both"/>
        <w:rPr>
          <w:rFonts w:ascii="Calibri" w:hAnsi="Calibri"/>
        </w:rPr>
      </w:pPr>
      <w:r>
        <w:rPr>
          <w:rFonts w:eastAsia="Aptos"/>
          <w:sz w:val="24"/>
          <w:szCs w:val="24"/>
        </w:rPr>
        <w:t xml:space="preserve">L’individuazione delle tariffe da applicare agli stalli di sosta a pagamento viene approvata annualmente con apposita Deliberazione di Giunta Comunale. </w:t>
      </w:r>
    </w:p>
    <w:p>
      <w:pPr>
        <w:pStyle w:val="Normal"/>
        <w:jc w:val="both"/>
        <w:rPr>
          <w:rFonts w:ascii="Calibri" w:hAnsi="Calibri"/>
        </w:rPr>
      </w:pPr>
      <w:r>
        <w:rPr>
          <w:rFonts w:eastAsia="Aptos"/>
          <w:sz w:val="24"/>
          <w:szCs w:val="24"/>
        </w:rPr>
        <w:t>Le tariffe suddette sono state approvate con atto di G.C. n. 108 del 2025.</w:t>
      </w:r>
    </w:p>
    <w:p>
      <w:pPr>
        <w:pStyle w:val="Normal"/>
        <w:jc w:val="both"/>
        <w:rPr>
          <w:rFonts w:ascii="Calibri" w:hAnsi="Calibri"/>
        </w:rPr>
      </w:pPr>
      <w:r>
        <w:rPr>
          <w:sz w:val="24"/>
          <w:szCs w:val="24"/>
        </w:rPr>
        <w:t>Il Comune di Marciana si riserva la facoltà, a proprio insindacabile giudizio, di ampliare le aree ove è istituita la sosta a pagamento, nei modi e nelle forme previste dal codice della Strada; si riserva, inoltre, la facoltà di sospendere o modificare la sosta a pagamento nelle aree interessate nei casi in cui ciò si renda necessario in base modifiche di ordine viario, esecuzione di lavori pubblici o altri motivi di interesse generale.</w:t>
      </w:r>
    </w:p>
    <w:p>
      <w:pPr>
        <w:pStyle w:val="Normal"/>
        <w:jc w:val="both"/>
        <w:rPr>
          <w:rFonts w:ascii="Calibri" w:hAnsi="Calibri"/>
          <w:sz w:val="24"/>
          <w:szCs w:val="24"/>
        </w:rPr>
      </w:pPr>
      <w:r>
        <w:rPr>
          <w:sz w:val="24"/>
          <w:szCs w:val="24"/>
        </w:rPr>
      </w:r>
    </w:p>
    <w:p>
      <w:pPr>
        <w:pStyle w:val="Normal"/>
        <w:jc w:val="both"/>
        <w:rPr>
          <w:rFonts w:ascii="Calibri" w:hAnsi="Calibri"/>
        </w:rPr>
      </w:pPr>
      <w:r>
        <w:rPr>
          <w:sz w:val="24"/>
          <w:szCs w:val="24"/>
        </w:rPr>
        <w:t xml:space="preserve">Prospetto dal 01/07/2026 al 30/09/2026: </w:t>
      </w:r>
    </w:p>
    <w:p>
      <w:pPr>
        <w:pStyle w:val="Normal"/>
        <w:jc w:val="both"/>
        <w:rPr>
          <w:rFonts w:ascii="Calibri" w:hAnsi="Calibri"/>
          <w:sz w:val="24"/>
          <w:szCs w:val="24"/>
        </w:rPr>
      </w:pPr>
      <w:r>
        <w:rPr>
          <w:sz w:val="24"/>
          <w:szCs w:val="24"/>
        </w:rPr>
      </w:r>
    </w:p>
    <w:tbl>
      <w:tblPr>
        <w:tblW w:w="9778" w:type="dxa"/>
        <w:jc w:val="left"/>
        <w:tblInd w:w="221" w:type="dxa"/>
        <w:tblLayout w:type="fixed"/>
        <w:tblCellMar>
          <w:top w:w="0" w:type="dxa"/>
          <w:left w:w="108" w:type="dxa"/>
          <w:bottom w:w="0" w:type="dxa"/>
          <w:right w:w="108" w:type="dxa"/>
        </w:tblCellMar>
        <w:tblLook w:val="04a0"/>
      </w:tblPr>
      <w:tblGrid>
        <w:gridCol w:w="1370"/>
        <w:gridCol w:w="1672"/>
        <w:gridCol w:w="1399"/>
        <w:gridCol w:w="1530"/>
        <w:gridCol w:w="1530"/>
        <w:gridCol w:w="2276"/>
      </w:tblGrid>
      <w:tr>
        <w:trPr/>
        <w:tc>
          <w:tcPr>
            <w:tcW w:w="1370" w:type="dxa"/>
            <w:tcBorders/>
          </w:tcPr>
          <w:p>
            <w:pPr>
              <w:pStyle w:val="Normal"/>
              <w:jc w:val="both"/>
              <w:rPr>
                <w:rFonts w:ascii="Calibri" w:hAnsi="Calibri" w:cs="Calibri Light"/>
                <w:sz w:val="24"/>
                <w:szCs w:val="24"/>
              </w:rPr>
            </w:pPr>
            <w:r>
              <w:rPr>
                <w:rFonts w:cs="Calibri Light"/>
                <w:sz w:val="24"/>
                <w:szCs w:val="24"/>
              </w:rPr>
            </w:r>
          </w:p>
        </w:tc>
        <w:tc>
          <w:tcPr>
            <w:tcW w:w="1672" w:type="dxa"/>
            <w:tcBorders/>
          </w:tcPr>
          <w:p>
            <w:pPr>
              <w:pStyle w:val="Normal"/>
              <w:jc w:val="center"/>
              <w:rPr>
                <w:rFonts w:ascii="Calibri" w:hAnsi="Calibri"/>
              </w:rPr>
            </w:pPr>
            <w:r>
              <w:rPr>
                <w:rFonts w:eastAsia="Times New Roman" w:cs="Calibri Light"/>
                <w:sz w:val="24"/>
                <w:szCs w:val="24"/>
              </w:rPr>
              <w:t>Ore di lavoro a settimana</w:t>
            </w:r>
          </w:p>
        </w:tc>
        <w:tc>
          <w:tcPr>
            <w:tcW w:w="1399" w:type="dxa"/>
            <w:tcBorders/>
          </w:tcPr>
          <w:p>
            <w:pPr>
              <w:pStyle w:val="Normal"/>
              <w:jc w:val="center"/>
              <w:rPr>
                <w:rFonts w:ascii="Calibri" w:hAnsi="Calibri"/>
              </w:rPr>
            </w:pPr>
            <w:r>
              <w:rPr>
                <w:rFonts w:eastAsia="Times New Roman" w:cs="Calibri Light"/>
                <w:sz w:val="24"/>
                <w:szCs w:val="24"/>
              </w:rPr>
              <w:t>n. settimane di lavoro</w:t>
            </w:r>
          </w:p>
        </w:tc>
        <w:tc>
          <w:tcPr>
            <w:tcW w:w="1530" w:type="dxa"/>
            <w:tcBorders/>
          </w:tcPr>
          <w:p>
            <w:pPr>
              <w:pStyle w:val="Normal"/>
              <w:jc w:val="center"/>
              <w:rPr>
                <w:rFonts w:ascii="Calibri" w:hAnsi="Calibri"/>
              </w:rPr>
            </w:pPr>
            <w:r>
              <w:rPr>
                <w:sz w:val="24"/>
                <w:szCs w:val="24"/>
              </w:rPr>
              <w:t>Ore di lavoro complessive</w:t>
            </w:r>
          </w:p>
        </w:tc>
        <w:tc>
          <w:tcPr>
            <w:tcW w:w="1530" w:type="dxa"/>
            <w:tcBorders/>
          </w:tcPr>
          <w:p>
            <w:pPr>
              <w:pStyle w:val="Normal"/>
              <w:jc w:val="center"/>
              <w:rPr>
                <w:rFonts w:ascii="Calibri" w:hAnsi="Calibri"/>
              </w:rPr>
            </w:pPr>
            <w:r>
              <w:rPr>
                <w:rFonts w:eastAsia="Times New Roman" w:cs="Calibri Light"/>
                <w:sz w:val="24"/>
                <w:szCs w:val="24"/>
              </w:rPr>
              <w:t>Costo orario in euro (al netto IVA)</w:t>
            </w:r>
          </w:p>
        </w:tc>
        <w:tc>
          <w:tcPr>
            <w:tcW w:w="2276" w:type="dxa"/>
            <w:tcBorders/>
          </w:tcPr>
          <w:p>
            <w:pPr>
              <w:pStyle w:val="Normal"/>
              <w:jc w:val="center"/>
              <w:rPr>
                <w:rFonts w:ascii="Calibri" w:hAnsi="Calibri"/>
              </w:rPr>
            </w:pPr>
            <w:r>
              <w:rPr>
                <w:rFonts w:eastAsia="Times New Roman" w:cs="Calibri Light"/>
                <w:sz w:val="24"/>
                <w:szCs w:val="24"/>
              </w:rPr>
              <w:t>Costo per il Comune (al netto IVA)</w:t>
            </w:r>
          </w:p>
        </w:tc>
      </w:tr>
      <w:tr>
        <w:trPr/>
        <w:tc>
          <w:tcPr>
            <w:tcW w:w="1370" w:type="dxa"/>
            <w:tcBorders/>
          </w:tcPr>
          <w:p>
            <w:pPr>
              <w:pStyle w:val="Normal"/>
              <w:jc w:val="both"/>
              <w:rPr>
                <w:rFonts w:ascii="Calibri" w:hAnsi="Calibri"/>
              </w:rPr>
            </w:pPr>
            <w:r>
              <w:rPr>
                <w:rFonts w:eastAsia="Times New Roman" w:cs="Calibri Light"/>
                <w:sz w:val="24"/>
                <w:szCs w:val="24"/>
              </w:rPr>
              <w:t>Ausiliare 1</w:t>
            </w:r>
          </w:p>
        </w:tc>
        <w:tc>
          <w:tcPr>
            <w:tcW w:w="1672" w:type="dxa"/>
            <w:tcBorders/>
          </w:tcPr>
          <w:p>
            <w:pPr>
              <w:pStyle w:val="Normal"/>
              <w:jc w:val="center"/>
              <w:rPr>
                <w:rFonts w:ascii="Calibri" w:hAnsi="Calibri"/>
              </w:rPr>
            </w:pPr>
            <w:r>
              <w:rPr>
                <w:rFonts w:eastAsia="Times New Roman" w:cs="Calibri Light"/>
                <w:sz w:val="24"/>
                <w:szCs w:val="24"/>
              </w:rPr>
              <w:t>36</w:t>
            </w:r>
          </w:p>
        </w:tc>
        <w:tc>
          <w:tcPr>
            <w:tcW w:w="1399" w:type="dxa"/>
            <w:tcBorders/>
          </w:tcPr>
          <w:p>
            <w:pPr>
              <w:pStyle w:val="Normal"/>
              <w:jc w:val="center"/>
              <w:rPr>
                <w:rFonts w:ascii="Calibri" w:hAnsi="Calibri"/>
              </w:rPr>
            </w:pPr>
            <w:r>
              <w:rPr>
                <w:rFonts w:eastAsia="Times New Roman" w:cs="Calibri Light"/>
                <w:sz w:val="24"/>
                <w:szCs w:val="24"/>
              </w:rPr>
              <w:t>13,14</w:t>
            </w:r>
          </w:p>
        </w:tc>
        <w:tc>
          <w:tcPr>
            <w:tcW w:w="1530" w:type="dxa"/>
            <w:tcBorders/>
          </w:tcPr>
          <w:p>
            <w:pPr>
              <w:pStyle w:val="Normal"/>
              <w:jc w:val="center"/>
              <w:rPr>
                <w:rFonts w:ascii="Calibri" w:hAnsi="Calibri"/>
              </w:rPr>
            </w:pPr>
            <w:r>
              <w:rPr>
                <w:rFonts w:eastAsia="Times New Roman" w:cs="Calibri Light"/>
                <w:kern w:val="0"/>
                <w:sz w:val="24"/>
                <w:szCs w:val="24"/>
              </w:rPr>
              <w:t>473</w:t>
            </w:r>
          </w:p>
        </w:tc>
        <w:tc>
          <w:tcPr>
            <w:tcW w:w="1530" w:type="dxa"/>
            <w:tcBorders/>
          </w:tcPr>
          <w:p>
            <w:pPr>
              <w:pStyle w:val="Normal"/>
              <w:jc w:val="center"/>
              <w:rPr>
                <w:rFonts w:ascii="Calibri" w:hAnsi="Calibri"/>
              </w:rPr>
            </w:pPr>
            <w:r>
              <w:rPr>
                <w:rFonts w:eastAsia="Times New Roman" w:cs="Calibri Light"/>
                <w:kern w:val="0"/>
                <w:sz w:val="24"/>
                <w:szCs w:val="24"/>
              </w:rPr>
              <w:t>22,89</w:t>
            </w:r>
          </w:p>
        </w:tc>
        <w:tc>
          <w:tcPr>
            <w:tcW w:w="2276" w:type="dxa"/>
            <w:tcBorders/>
          </w:tcPr>
          <w:p>
            <w:pPr>
              <w:pStyle w:val="Normal"/>
              <w:jc w:val="center"/>
              <w:rPr>
                <w:rFonts w:ascii="Calibri" w:hAnsi="Calibri"/>
              </w:rPr>
            </w:pPr>
            <w:r>
              <w:rPr>
                <w:rFonts w:eastAsia="Times New Roman" w:cs="Calibri Light"/>
                <w:kern w:val="0"/>
                <w:sz w:val="24"/>
                <w:szCs w:val="24"/>
              </w:rPr>
              <w:t xml:space="preserve">€ </w:t>
            </w:r>
            <w:r>
              <w:rPr>
                <w:rFonts w:eastAsia="Times New Roman" w:cs="Calibri Light"/>
                <w:kern w:val="0"/>
                <w:sz w:val="24"/>
                <w:szCs w:val="24"/>
              </w:rPr>
              <w:t>10.826,97</w:t>
            </w:r>
          </w:p>
        </w:tc>
      </w:tr>
      <w:tr>
        <w:trPr/>
        <w:tc>
          <w:tcPr>
            <w:tcW w:w="1370" w:type="dxa"/>
            <w:tcBorders/>
          </w:tcPr>
          <w:p>
            <w:pPr>
              <w:pStyle w:val="Normal"/>
              <w:jc w:val="both"/>
              <w:rPr>
                <w:rFonts w:ascii="Calibri" w:hAnsi="Calibri"/>
              </w:rPr>
            </w:pPr>
            <w:r>
              <w:rPr>
                <w:rFonts w:eastAsia="Times New Roman" w:cs="Calibri Light"/>
                <w:sz w:val="24"/>
                <w:szCs w:val="24"/>
              </w:rPr>
              <w:t>Ausiliare 2</w:t>
            </w:r>
          </w:p>
        </w:tc>
        <w:tc>
          <w:tcPr>
            <w:tcW w:w="1672" w:type="dxa"/>
            <w:tcBorders/>
          </w:tcPr>
          <w:p>
            <w:pPr>
              <w:pStyle w:val="Normal"/>
              <w:jc w:val="center"/>
              <w:rPr>
                <w:rFonts w:ascii="Calibri" w:hAnsi="Calibri"/>
              </w:rPr>
            </w:pPr>
            <w:r>
              <w:rPr>
                <w:rFonts w:eastAsia="Times New Roman" w:cs="Calibri Light"/>
                <w:sz w:val="24"/>
                <w:szCs w:val="24"/>
              </w:rPr>
              <w:t>36</w:t>
            </w:r>
          </w:p>
        </w:tc>
        <w:tc>
          <w:tcPr>
            <w:tcW w:w="1399" w:type="dxa"/>
            <w:tcBorders/>
          </w:tcPr>
          <w:p>
            <w:pPr>
              <w:pStyle w:val="Normal"/>
              <w:jc w:val="center"/>
              <w:rPr>
                <w:rFonts w:ascii="Calibri" w:hAnsi="Calibri"/>
              </w:rPr>
            </w:pPr>
            <w:r>
              <w:rPr>
                <w:rFonts w:eastAsia="Times New Roman" w:cs="Calibri Light"/>
                <w:sz w:val="24"/>
                <w:szCs w:val="24"/>
              </w:rPr>
              <w:t>13,14</w:t>
            </w:r>
          </w:p>
        </w:tc>
        <w:tc>
          <w:tcPr>
            <w:tcW w:w="1530" w:type="dxa"/>
            <w:tcBorders/>
          </w:tcPr>
          <w:p>
            <w:pPr>
              <w:pStyle w:val="Normal"/>
              <w:jc w:val="center"/>
              <w:rPr>
                <w:rFonts w:ascii="Calibri" w:hAnsi="Calibri"/>
              </w:rPr>
            </w:pPr>
            <w:r>
              <w:rPr>
                <w:rFonts w:eastAsia="Times New Roman" w:cs="Calibri Light"/>
                <w:kern w:val="0"/>
                <w:sz w:val="24"/>
                <w:szCs w:val="24"/>
              </w:rPr>
              <w:t>473</w:t>
            </w:r>
          </w:p>
        </w:tc>
        <w:tc>
          <w:tcPr>
            <w:tcW w:w="1530" w:type="dxa"/>
            <w:tcBorders/>
          </w:tcPr>
          <w:p>
            <w:pPr>
              <w:pStyle w:val="Normal"/>
              <w:jc w:val="center"/>
              <w:rPr>
                <w:rFonts w:ascii="Calibri" w:hAnsi="Calibri"/>
              </w:rPr>
            </w:pPr>
            <w:r>
              <w:rPr>
                <w:rFonts w:eastAsia="Times New Roman" w:cs="Calibri Light"/>
                <w:kern w:val="0"/>
                <w:sz w:val="24"/>
                <w:szCs w:val="24"/>
              </w:rPr>
              <w:t>22,89</w:t>
            </w:r>
          </w:p>
        </w:tc>
        <w:tc>
          <w:tcPr>
            <w:tcW w:w="2276" w:type="dxa"/>
            <w:tcBorders/>
          </w:tcPr>
          <w:p>
            <w:pPr>
              <w:pStyle w:val="Normal"/>
              <w:jc w:val="center"/>
              <w:rPr>
                <w:rFonts w:ascii="Calibri" w:hAnsi="Calibri"/>
              </w:rPr>
            </w:pPr>
            <w:r>
              <w:rPr>
                <w:rFonts w:eastAsia="Times New Roman" w:cs="Calibri Light"/>
                <w:kern w:val="0"/>
                <w:sz w:val="24"/>
                <w:szCs w:val="24"/>
              </w:rPr>
              <w:t xml:space="preserve">€ </w:t>
            </w:r>
            <w:r>
              <w:rPr>
                <w:rFonts w:eastAsia="Times New Roman" w:cs="Calibri Light"/>
                <w:kern w:val="0"/>
                <w:sz w:val="24"/>
                <w:szCs w:val="24"/>
              </w:rPr>
              <w:t>10.826,97</w:t>
            </w:r>
          </w:p>
        </w:tc>
      </w:tr>
      <w:tr>
        <w:trPr>
          <w:trHeight w:val="186" w:hRule="atLeast"/>
        </w:trPr>
        <w:tc>
          <w:tcPr>
            <w:tcW w:w="1370" w:type="dxa"/>
            <w:tcBorders/>
          </w:tcPr>
          <w:p>
            <w:pPr>
              <w:pStyle w:val="Normal"/>
              <w:rPr>
                <w:rFonts w:ascii="Calibri" w:hAnsi="Calibri" w:cs="Calibri Light"/>
                <w:sz w:val="24"/>
                <w:szCs w:val="24"/>
              </w:rPr>
            </w:pPr>
            <w:r>
              <w:rPr>
                <w:rFonts w:cs="Calibri Light"/>
                <w:sz w:val="24"/>
                <w:szCs w:val="24"/>
              </w:rPr>
            </w:r>
          </w:p>
        </w:tc>
        <w:tc>
          <w:tcPr>
            <w:tcW w:w="1672" w:type="dxa"/>
            <w:tcBorders/>
          </w:tcPr>
          <w:p>
            <w:pPr>
              <w:pStyle w:val="Normal"/>
              <w:jc w:val="center"/>
              <w:rPr>
                <w:rFonts w:ascii="Calibri" w:hAnsi="Calibri" w:cs="Calibri Light"/>
                <w:sz w:val="24"/>
                <w:szCs w:val="24"/>
              </w:rPr>
            </w:pPr>
            <w:r>
              <w:rPr>
                <w:rFonts w:cs="Calibri Light"/>
                <w:sz w:val="24"/>
                <w:szCs w:val="24"/>
              </w:rPr>
            </w:r>
          </w:p>
        </w:tc>
        <w:tc>
          <w:tcPr>
            <w:tcW w:w="1399" w:type="dxa"/>
            <w:tcBorders/>
          </w:tcPr>
          <w:p>
            <w:pPr>
              <w:pStyle w:val="Normal"/>
              <w:jc w:val="center"/>
              <w:rPr>
                <w:rFonts w:ascii="Calibri" w:hAnsi="Calibri" w:cs="Calibri Light"/>
                <w:sz w:val="24"/>
                <w:szCs w:val="24"/>
              </w:rPr>
            </w:pPr>
            <w:r>
              <w:rPr>
                <w:rFonts w:cs="Calibri Light"/>
                <w:sz w:val="24"/>
                <w:szCs w:val="24"/>
              </w:rPr>
            </w:r>
          </w:p>
        </w:tc>
        <w:tc>
          <w:tcPr>
            <w:tcW w:w="1530" w:type="dxa"/>
            <w:tcBorders/>
          </w:tcPr>
          <w:p>
            <w:pPr>
              <w:pStyle w:val="Normal"/>
              <w:jc w:val="center"/>
              <w:rPr>
                <w:rFonts w:ascii="Calibri" w:hAnsi="Calibri" w:eastAsia="Times New Roman" w:cs="Calibri Light"/>
                <w:kern w:val="0"/>
                <w:sz w:val="24"/>
                <w:szCs w:val="24"/>
              </w:rPr>
            </w:pPr>
            <w:r>
              <w:rPr>
                <w:rFonts w:eastAsia="Times New Roman" w:cs="Calibri Light"/>
                <w:kern w:val="0"/>
                <w:sz w:val="24"/>
                <w:szCs w:val="24"/>
              </w:rPr>
            </w:r>
          </w:p>
        </w:tc>
        <w:tc>
          <w:tcPr>
            <w:tcW w:w="1530" w:type="dxa"/>
            <w:tcBorders/>
          </w:tcPr>
          <w:p>
            <w:pPr>
              <w:pStyle w:val="Normal"/>
              <w:jc w:val="center"/>
              <w:rPr>
                <w:rFonts w:ascii="Calibri" w:hAnsi="Calibri" w:eastAsia="Times New Roman" w:cs="Calibri Light"/>
                <w:kern w:val="0"/>
                <w:sz w:val="24"/>
                <w:szCs w:val="24"/>
              </w:rPr>
            </w:pPr>
            <w:r>
              <w:rPr>
                <w:rFonts w:eastAsia="Times New Roman" w:cs="Calibri Light"/>
                <w:kern w:val="0"/>
                <w:sz w:val="24"/>
                <w:szCs w:val="24"/>
              </w:rPr>
            </w:r>
          </w:p>
        </w:tc>
        <w:tc>
          <w:tcPr>
            <w:tcW w:w="2276" w:type="dxa"/>
            <w:tcBorders/>
          </w:tcPr>
          <w:p>
            <w:pPr>
              <w:pStyle w:val="Normal"/>
              <w:jc w:val="center"/>
              <w:rPr>
                <w:rFonts w:ascii="Calibri" w:hAnsi="Calibri"/>
              </w:rPr>
            </w:pPr>
            <w:r>
              <w:rPr>
                <w:rFonts w:eastAsia="Times New Roman" w:cs="Calibri Light"/>
                <w:kern w:val="0"/>
                <w:sz w:val="24"/>
                <w:szCs w:val="24"/>
              </w:rPr>
              <w:t xml:space="preserve">€ </w:t>
            </w:r>
            <w:r>
              <w:rPr>
                <w:rFonts w:eastAsia="Times New Roman" w:cs="Calibri Light"/>
                <w:kern w:val="0"/>
                <w:sz w:val="24"/>
                <w:szCs w:val="24"/>
              </w:rPr>
              <w:t>21.653,94</w:t>
            </w:r>
          </w:p>
        </w:tc>
      </w:tr>
    </w:tbl>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sz w:val="24"/>
          <w:szCs w:val="24"/>
        </w:rPr>
      </w:r>
    </w:p>
    <w:p>
      <w:pPr>
        <w:pStyle w:val="Normal"/>
        <w:spacing w:lineRule="auto" w:line="360"/>
        <w:ind w:left="1416"/>
        <w:rPr>
          <w:rFonts w:ascii="Calibri" w:hAnsi="Calibri"/>
        </w:rPr>
      </w:pPr>
      <w:r>
        <w:rPr>
          <w:rFonts w:eastAsia="Aptos"/>
          <w:b/>
          <w:bCs/>
          <w:sz w:val="24"/>
          <w:szCs w:val="24"/>
        </w:rPr>
        <w:t>6.2 Ulteriori specifiche</w:t>
      </w:r>
    </w:p>
    <w:p>
      <w:pPr>
        <w:pStyle w:val="Normal"/>
        <w:jc w:val="both"/>
        <w:rPr>
          <w:rFonts w:ascii="Calibri" w:hAnsi="Calibri"/>
        </w:rPr>
      </w:pPr>
      <w:r>
        <w:rPr>
          <w:sz w:val="24"/>
          <w:szCs w:val="24"/>
        </w:rPr>
        <w:t>Sono a carico della società tutte le spese relative al vestiari</w:t>
      </w:r>
      <w:r>
        <w:rPr>
          <w:rFonts w:eastAsia="Aptos"/>
          <w:sz w:val="24"/>
          <w:szCs w:val="24"/>
        </w:rPr>
        <w:t xml:space="preserve">o e ai DPI. </w:t>
      </w:r>
    </w:p>
    <w:p>
      <w:pPr>
        <w:pStyle w:val="Normal"/>
        <w:jc w:val="both"/>
        <w:rPr>
          <w:rFonts w:ascii="Calibri" w:hAnsi="Calibri"/>
        </w:rPr>
      </w:pPr>
      <w:r>
        <w:rPr>
          <w:rFonts w:eastAsia="Aptos"/>
          <w:sz w:val="24"/>
          <w:szCs w:val="24"/>
        </w:rPr>
        <w:t>La dotazione minima degli ausiliari (abbigliamento ed accessori) viene individuata nel seguente</w:t>
      </w:r>
    </w:p>
    <w:p>
      <w:pPr>
        <w:pStyle w:val="Normal"/>
        <w:jc w:val="both"/>
        <w:rPr>
          <w:rFonts w:ascii="Calibri" w:hAnsi="Calibri"/>
        </w:rPr>
      </w:pPr>
      <w:r>
        <w:rPr>
          <w:sz w:val="24"/>
          <w:szCs w:val="24"/>
        </w:rPr>
        <w:t>materiale:</w:t>
      </w:r>
    </w:p>
    <w:p>
      <w:pPr>
        <w:pStyle w:val="Normal"/>
        <w:jc w:val="both"/>
        <w:rPr>
          <w:rFonts w:ascii="Calibri" w:hAnsi="Calibri"/>
        </w:rPr>
      </w:pPr>
      <w:r>
        <w:rPr>
          <w:sz w:val="24"/>
          <w:szCs w:val="24"/>
        </w:rPr>
        <w:t>- berretto, riportante la scritta “Ausiliario della sosta”;</w:t>
      </w:r>
    </w:p>
    <w:p>
      <w:pPr>
        <w:pStyle w:val="Normal"/>
        <w:jc w:val="both"/>
        <w:rPr>
          <w:rFonts w:ascii="Calibri" w:hAnsi="Calibri"/>
        </w:rPr>
      </w:pPr>
      <w:r>
        <w:rPr>
          <w:sz w:val="24"/>
          <w:szCs w:val="24"/>
        </w:rPr>
        <w:t>- borsello;</w:t>
      </w:r>
    </w:p>
    <w:p>
      <w:pPr>
        <w:pStyle w:val="Normal"/>
        <w:jc w:val="both"/>
        <w:rPr>
          <w:rFonts w:ascii="Calibri" w:hAnsi="Calibri"/>
        </w:rPr>
      </w:pPr>
      <w:r>
        <w:rPr>
          <w:sz w:val="24"/>
          <w:szCs w:val="24"/>
        </w:rPr>
        <w:t>- giubbotto estivo riportante sul retro la scritta “Ausiliario della sosta”;</w:t>
      </w:r>
    </w:p>
    <w:p>
      <w:pPr>
        <w:pStyle w:val="Normal"/>
        <w:jc w:val="both"/>
        <w:rPr>
          <w:rFonts w:ascii="Calibri" w:hAnsi="Calibri"/>
        </w:rPr>
      </w:pPr>
      <w:r>
        <w:rPr>
          <w:sz w:val="24"/>
          <w:szCs w:val="24"/>
        </w:rPr>
        <w:t>- polo riportante sul retro la scritta “Ausiliario della sosta”.</w:t>
      </w:r>
    </w:p>
    <w:p>
      <w:pPr>
        <w:pStyle w:val="Normal"/>
        <w:jc w:val="both"/>
        <w:rPr>
          <w:rFonts w:ascii="Calibri" w:hAnsi="Calibri"/>
        </w:rPr>
      </w:pPr>
      <w:r>
        <w:rPr>
          <w:rFonts w:eastAsia="Aptos"/>
          <w:sz w:val="24"/>
          <w:szCs w:val="24"/>
        </w:rPr>
        <w:t xml:space="preserve">Le uniformi ed ogni altro equipaggiamento, ivi compresi eventuali veicoli utilizzati dagli ausiliari per gli spostamenti (biciclette, ciclomotori, ecc.) dovranno essere forniti dalla società ai propri collaboratori. </w:t>
      </w:r>
    </w:p>
    <w:p>
      <w:pPr>
        <w:pStyle w:val="Normal"/>
        <w:jc w:val="both"/>
        <w:rPr>
          <w:rFonts w:ascii="Calibri" w:hAnsi="Calibri"/>
        </w:rPr>
      </w:pPr>
      <w:r>
        <w:rPr>
          <w:rFonts w:eastAsia="Aptos"/>
          <w:sz w:val="24"/>
          <w:szCs w:val="24"/>
        </w:rPr>
        <w:t>Gli spostamenti del personale ausiliario alla sosta sono a carico della società affidataria.</w:t>
      </w:r>
    </w:p>
    <w:p>
      <w:pPr>
        <w:pStyle w:val="Normal"/>
        <w:jc w:val="both"/>
        <w:rPr>
          <w:rFonts w:ascii="Calibri" w:hAnsi="Calibri"/>
        </w:rPr>
      </w:pPr>
      <w:r>
        <w:rPr>
          <w:rFonts w:eastAsia="Aptos"/>
          <w:sz w:val="24"/>
          <w:szCs w:val="24"/>
        </w:rPr>
        <w:t>Gli strumenti sanzionatori (bollettari o palmari) e quant’altro indispensabile per i controlli e la contestazione delle violazioni saranno forniti dall’Ente, il quale si occupa della gestione dei flussi informativi.</w:t>
      </w:r>
    </w:p>
    <w:p>
      <w:pPr>
        <w:pStyle w:val="Normal"/>
        <w:rPr>
          <w:rFonts w:ascii="Calibri" w:hAnsi="Calibri"/>
        </w:rPr>
      </w:pPr>
      <w:r>
        <w:rPr>
          <w:rFonts w:eastAsia="Aptos"/>
          <w:sz w:val="24"/>
          <w:szCs w:val="24"/>
        </w:rPr>
        <w:t>La Società dovrà provvedere al controllo sistematico e capillare della sosta nelle aree in concessione garantendo la costante presenza di proprio personale nei confronti del quale dovrà applicare integralmente tutte le norme contenute nei contratti collettivi di lavoro e di categoria e negli accordi integrativi locali, ivi compresi tutti gli obblighi di natura previdenziale ed assicurativa di legge, nonché assolvere tutte le prescrizioni della normativa vigente in materia di tutela della salute e della sicurezza dei lavoratori e di prevenzione e protezione dagli infortuni sul lavoro.</w:t>
      </w:r>
    </w:p>
    <w:p>
      <w:pPr>
        <w:pStyle w:val="Normal"/>
        <w:jc w:val="both"/>
        <w:rPr>
          <w:rFonts w:ascii="Calibri" w:hAnsi="Calibri"/>
        </w:rPr>
      </w:pPr>
      <w:r>
        <w:rPr>
          <w:sz w:val="24"/>
          <w:szCs w:val="24"/>
        </w:rPr>
        <w:t>La Società deve nominare un soggetto con le funzioni di Responsabile del servizio, quale unico interlocutore con il Comune in riferimento alla gestione del servizio sul territorio.</w:t>
      </w:r>
    </w:p>
    <w:p>
      <w:pPr>
        <w:pStyle w:val="Normal"/>
        <w:jc w:val="both"/>
        <w:rPr>
          <w:rFonts w:ascii="Calibri" w:hAnsi="Calibri"/>
        </w:rPr>
      </w:pPr>
      <w:r>
        <w:rPr>
          <w:sz w:val="24"/>
          <w:szCs w:val="24"/>
        </w:rPr>
        <w:t>L’ufficio del Comune referente per il Responsabile di cui sopra è il Comando di Polizia Municipale.</w:t>
      </w:r>
    </w:p>
    <w:p>
      <w:pPr>
        <w:pStyle w:val="Normal"/>
        <w:jc w:val="both"/>
        <w:rPr>
          <w:rFonts w:ascii="Calibri" w:hAnsi="Calibri"/>
        </w:rPr>
      </w:pPr>
      <w:r>
        <w:rPr>
          <w:sz w:val="24"/>
          <w:szCs w:val="24"/>
        </w:rPr>
        <w:t>La Società dovrà garantire, oltre alla reperibilità telefonica, la presenza del personale ausiliario in ogni giornata e per l’intero orario stabilito dal disciplinare.</w:t>
      </w:r>
    </w:p>
    <w:p>
      <w:pPr>
        <w:pStyle w:val="Normal"/>
        <w:jc w:val="both"/>
        <w:rPr>
          <w:rFonts w:ascii="Calibri" w:hAnsi="Calibri"/>
        </w:rPr>
      </w:pPr>
      <w:r>
        <w:rPr>
          <w:sz w:val="24"/>
          <w:szCs w:val="24"/>
        </w:rPr>
        <w:t>Il personale della Società agisce nella veste di “Ausiliario della sosta”, ai sensi dell’art. 12 bis del decreto legislativo 30 aprile 1992, n. 285 e, in ragione di ciò, tale personale è tenuto a redigere un preavviso di violazione di sosta, numerato progressivamente, avente i contenuti di cui all’art. 383 del regolamento d’esecuzione e d’attuazione del codice della strada (d.P.R. 16/12/1992, n. 495).</w:t>
      </w:r>
    </w:p>
    <w:p>
      <w:pPr>
        <w:pStyle w:val="Normal"/>
        <w:jc w:val="both"/>
        <w:rPr>
          <w:rFonts w:ascii="Calibri" w:hAnsi="Calibri"/>
        </w:rPr>
      </w:pPr>
      <w:r>
        <w:rPr>
          <w:sz w:val="24"/>
          <w:szCs w:val="24"/>
        </w:rPr>
        <w:t>Ai fini del puntuale assolvimento degli obblighi di accertamento delle violazioni, il personale della Società dovrà essere dotato di appositi “palmari” interfacciati con il software in dotazione alla Polizia Municipale e stampante termica portatile per la redazione e stampa dei preavvisi.</w:t>
      </w:r>
    </w:p>
    <w:p>
      <w:pPr>
        <w:pStyle w:val="Normal"/>
        <w:jc w:val="both"/>
        <w:rPr>
          <w:rFonts w:ascii="Calibri" w:hAnsi="Calibri"/>
        </w:rPr>
      </w:pPr>
      <w:r>
        <w:rPr>
          <w:sz w:val="24"/>
          <w:szCs w:val="24"/>
        </w:rPr>
        <w:t>Una copia del preavviso verrà lasciata sotto il tergicristallo del veicolo in modo da informare l’utente dell’avvio della procedura sanzionatoria amministrativa che culminerà con la spedizione del relativo verbale.</w:t>
      </w:r>
    </w:p>
    <w:p>
      <w:pPr>
        <w:pStyle w:val="Normal"/>
        <w:jc w:val="both"/>
        <w:rPr>
          <w:rFonts w:ascii="Calibri" w:hAnsi="Calibri"/>
        </w:rPr>
      </w:pPr>
      <w:r>
        <w:rPr>
          <w:sz w:val="24"/>
          <w:szCs w:val="24"/>
        </w:rPr>
        <w:t>I dati registrati sui palmari dovranno essere scaricati giornalmente presso il Comando di Polizia Municipale con le stesse modalità dei terminali attualmente in uso agli Agenti in modo da poter essere importati nell’applicativo gestionale in uso al Comando di Polizia Municipale consentendo così l’acquisizione automatica dei preavvisi emessi.</w:t>
      </w:r>
    </w:p>
    <w:p>
      <w:pPr>
        <w:pStyle w:val="Normal"/>
        <w:jc w:val="both"/>
        <w:rPr>
          <w:rFonts w:ascii="Calibri" w:hAnsi="Calibri"/>
        </w:rPr>
      </w:pPr>
      <w:r>
        <w:rPr>
          <w:sz w:val="24"/>
          <w:szCs w:val="24"/>
        </w:rPr>
        <w:t>La Polizia Municipale seguirà, in tutte le fasi successive, il procedimento amministrativo derivante dalle sanzioni elevate dagli ausiliari della sosta: le notifiche, le riscossioni ed i ricorsi saranno gestiti direttamente ed esclusivamente dalla Polizia Locale. A tal fine le copie dei preavvisi emessi dovranno essere consegnate giornalmente presso il Comando Polizia Municipale in quanto le attività di verifica circa l’effettiva riscossione degli importi di cui alle sanzioni elevate dal personale Ausiliario sono di competenza dell'organo di Polizia Municipale.</w:t>
      </w:r>
    </w:p>
    <w:p>
      <w:pPr>
        <w:pStyle w:val="Normal"/>
        <w:jc w:val="both"/>
        <w:rPr>
          <w:rFonts w:ascii="Calibri" w:hAnsi="Calibri"/>
        </w:rPr>
      </w:pPr>
      <w:r>
        <w:rPr>
          <w:sz w:val="24"/>
          <w:szCs w:val="24"/>
        </w:rPr>
        <w:t>Il Comune provvederà ad attivare la procedura di cui agli artt. 201 e segg. del codice della strada (d.lgs. n. 285/1992).</w:t>
      </w:r>
    </w:p>
    <w:p>
      <w:pPr>
        <w:pStyle w:val="Normal"/>
        <w:jc w:val="both"/>
        <w:rPr>
          <w:rFonts w:ascii="Calibri" w:hAnsi="Calibri"/>
        </w:rPr>
      </w:pPr>
      <w:r>
        <w:rPr>
          <w:sz w:val="24"/>
          <w:szCs w:val="24"/>
        </w:rPr>
        <w:t>Gli incassi derivanti dai pagamenti delle sanzioni contestate dal personale ausiliario spettano unicamente al Comune che non riconosce alcuna forma di indennizzo al concessionario. Non è ammesso il versamento del PMR direttamente nelle mani dell’agente accertatore.</w:t>
      </w:r>
    </w:p>
    <w:p>
      <w:pPr>
        <w:pStyle w:val="Normal"/>
        <w:jc w:val="both"/>
        <w:rPr>
          <w:rFonts w:ascii="Calibri" w:hAnsi="Calibri"/>
        </w:rPr>
      </w:pPr>
      <w:r>
        <w:rPr>
          <w:sz w:val="24"/>
          <w:szCs w:val="24"/>
        </w:rPr>
        <w:t>L’ausiliario della sosta coinvolto in vertenze con gli utenti in ordine a irregolarità delle soste o altri problemi che coinvolgono le competenze del Comune è tenuto a richiedere l’intervento della Polizia Municipale.</w:t>
      </w:r>
    </w:p>
    <w:p>
      <w:pPr>
        <w:pStyle w:val="Normal"/>
        <w:jc w:val="both"/>
        <w:rPr>
          <w:rFonts w:ascii="Calibri" w:hAnsi="Calibri"/>
        </w:rPr>
      </w:pPr>
      <w:r>
        <w:rPr>
          <w:sz w:val="24"/>
          <w:szCs w:val="24"/>
        </w:rPr>
        <w:t>Il sistema informatico dei palmari (o altre strumentazioni di rilevamento dei divieti di sosta) deve garantire la tutela dei dati personali ai sensi della vigente normativa sulla privacy ed essere dotato di sistemi che garantiscano l’inviolabilità e la non manomissione degli stessi anche durante la trasmissione dei dati.</w:t>
      </w:r>
    </w:p>
    <w:p>
      <w:pPr>
        <w:pStyle w:val="Normal"/>
        <w:jc w:val="both"/>
        <w:rPr>
          <w:rFonts w:ascii="Calibri" w:hAnsi="Calibri"/>
        </w:rPr>
      </w:pPr>
      <w:r>
        <w:rPr/>
      </w:r>
    </w:p>
    <w:p>
      <w:pPr>
        <w:pStyle w:val="Normal"/>
        <w:spacing w:lineRule="auto" w:line="360"/>
        <w:ind w:left="1416"/>
        <w:rPr>
          <w:rFonts w:ascii="Calibri" w:hAnsi="Calibri"/>
        </w:rPr>
      </w:pPr>
      <w:r>
        <w:rPr>
          <w:b/>
          <w:bCs/>
          <w:sz w:val="24"/>
          <w:szCs w:val="24"/>
        </w:rPr>
        <w:t>6.3 Personale adibito al servizio</w:t>
      </w:r>
    </w:p>
    <w:p>
      <w:pPr>
        <w:pStyle w:val="Normal"/>
        <w:jc w:val="both"/>
        <w:rPr>
          <w:rFonts w:ascii="Calibri" w:hAnsi="Calibri"/>
        </w:rPr>
      </w:pPr>
      <w:r>
        <w:rPr>
          <w:sz w:val="24"/>
          <w:szCs w:val="24"/>
        </w:rPr>
        <w:t>Il personale, che dovrà essere in possesso dei requisiti professionali e morali previsti dalla normativa vigente, verrà nominato “ausiliario della sosta” con decreto del Sindaco, previo superamento di un apposito corso di formazione.</w:t>
      </w:r>
    </w:p>
    <w:p>
      <w:pPr>
        <w:pStyle w:val="Normal"/>
        <w:jc w:val="both"/>
        <w:rPr>
          <w:rFonts w:ascii="Calibri" w:hAnsi="Calibri"/>
        </w:rPr>
      </w:pPr>
      <w:r>
        <w:rPr>
          <w:sz w:val="24"/>
          <w:szCs w:val="24"/>
        </w:rPr>
        <w:t>Agli ausiliari della sosta sono conferite funzioni di prevenzione e accertamento delle violazioni in materia di sosta nelle aree oggetto della concessione, ai sensi dell’art. 12 bis del decreto legislativo 30 aprile 1992, n. 285 e dovranno eseguire il controllo della regolarità della sosta dei veicoli applicando, in caso di accertata violazione, le sanzioni amministrative previste dal codice della strada in materia di sosta, i cui proventi verranno incassati dal Comune senza riconoscimento di alcunché alla Società.</w:t>
      </w:r>
    </w:p>
    <w:p>
      <w:pPr>
        <w:pStyle w:val="Normal"/>
        <w:jc w:val="both"/>
        <w:rPr>
          <w:rFonts w:ascii="Calibri" w:hAnsi="Calibri"/>
        </w:rPr>
      </w:pPr>
      <w:r>
        <w:rPr>
          <w:sz w:val="24"/>
          <w:szCs w:val="24"/>
        </w:rPr>
        <w:t>Gli ausiliari dovranno essere dotati di tessera di riconoscimento, esposta in modo ben visibile durante il servizio nonché di una adeguata divisa conforme alle norme del Codice della Strada e del d.lgs. n.81/2008, che ne consenta una facile individuazione e che non generi confusione con quella della Polizia Municipale o delle altre Forze di Polizia.</w:t>
      </w:r>
    </w:p>
    <w:p>
      <w:pPr>
        <w:pStyle w:val="Normal"/>
        <w:jc w:val="both"/>
        <w:rPr>
          <w:rFonts w:ascii="Calibri" w:hAnsi="Calibri"/>
        </w:rPr>
      </w:pPr>
      <w:r>
        <w:rPr>
          <w:sz w:val="24"/>
          <w:szCs w:val="24"/>
        </w:rPr>
        <w:t>Tutti gli ausiliari dovranno conoscere adeguatamente il funzionamento dei dispositivi di controllo anche al fine di fornire esaurienti e precise informazioni agli utenti. Gli addetti al servizio hanno il dovere di tenere, nei confronti dell’utenza, comportamenti corretti e cortesi improntati a diligenza, lealtà ed imparzialità, evitando di percepire mance, regali o altre utilità.</w:t>
      </w:r>
    </w:p>
    <w:p>
      <w:pPr>
        <w:pStyle w:val="Normal"/>
        <w:jc w:val="both"/>
        <w:rPr>
          <w:rFonts w:ascii="Calibri" w:hAnsi="Calibri"/>
        </w:rPr>
      </w:pPr>
      <w:r>
        <w:rPr>
          <w:sz w:val="24"/>
          <w:szCs w:val="24"/>
        </w:rPr>
        <w:t>Il Comando di Polizia Municipale svolgerà una funzione di controllo sulla condotta e sugli obblighi di correttezza verso gli utenti da parte degli ausiliari della sosta, con potere di segnalare ogni eventuale carenza alla direzione della Società. La Società si obbliga a richiamare e, nei casi più gravi, a sostituire gli ausiliari che abbiano manifestato un comportamento non consono ad un corretto svolgimento del servizio.</w:t>
      </w:r>
    </w:p>
    <w:p>
      <w:pPr>
        <w:pStyle w:val="Normal"/>
        <w:jc w:val="both"/>
        <w:rPr>
          <w:rFonts w:ascii="Calibri" w:hAnsi="Calibri"/>
          <w:sz w:val="24"/>
          <w:szCs w:val="24"/>
        </w:rPr>
      </w:pPr>
      <w:r>
        <w:rPr>
          <w:sz w:val="24"/>
          <w:szCs w:val="24"/>
        </w:rPr>
      </w:r>
    </w:p>
    <w:p>
      <w:pPr>
        <w:pStyle w:val="Normal"/>
        <w:jc w:val="both"/>
        <w:rPr>
          <w:rFonts w:ascii="Calibri" w:hAnsi="Calibri"/>
        </w:rPr>
      </w:pPr>
      <w:r>
        <w:rPr>
          <w:sz w:val="24"/>
          <w:szCs w:val="24"/>
        </w:rPr>
        <w:tab/>
        <w:tab/>
      </w:r>
    </w:p>
    <w:p>
      <w:pPr>
        <w:pStyle w:val="Normal"/>
        <w:tabs>
          <w:tab w:val="clear" w:pos="708"/>
          <w:tab w:val="left" w:pos="3648" w:leader="none"/>
        </w:tabs>
        <w:spacing w:lineRule="auto" w:line="360"/>
        <w:ind w:left="708"/>
        <w:jc w:val="both"/>
        <w:rPr>
          <w:rFonts w:ascii="Calibri" w:hAnsi="Calibri"/>
        </w:rPr>
      </w:pPr>
      <w:r>
        <w:rPr>
          <w:b/>
          <w:bCs/>
          <w:sz w:val="24"/>
          <w:szCs w:val="24"/>
        </w:rPr>
        <w:t>7 Organizzazione del servizio</w:t>
        <w:tab/>
      </w:r>
    </w:p>
    <w:p>
      <w:pPr>
        <w:pStyle w:val="Normal"/>
        <w:jc w:val="both"/>
        <w:rPr>
          <w:rFonts w:ascii="Calibri" w:hAnsi="Calibri"/>
        </w:rPr>
      </w:pPr>
      <w:r>
        <w:rPr>
          <w:sz w:val="24"/>
          <w:szCs w:val="24"/>
        </w:rPr>
        <w:t>La gestione dei servizi deve essere organizzata ed eseguita al fine di garantire i criteri di efficienza di efficacia e di economicità. Tra le misure che il Gestore può adottare si prevede un modello organizzativo di ottimizzazione della gestione. Il modello deve rispondere all’esigenza di una gestione - ottimizzazione delle procedure gestionali amministrative e commerciali. Il Gestore deve utilizzare un modello gestionale ed un sistema informativo compatibili e idonei a fornire dati tra loro integrabili.</w:t>
      </w:r>
    </w:p>
    <w:p>
      <w:pPr>
        <w:pStyle w:val="Normal"/>
        <w:jc w:val="both"/>
        <w:rPr>
          <w:rFonts w:ascii="Calibri" w:hAnsi="Calibri"/>
          <w:sz w:val="24"/>
          <w:szCs w:val="24"/>
        </w:rPr>
      </w:pPr>
      <w:r>
        <w:rPr>
          <w:sz w:val="24"/>
          <w:szCs w:val="24"/>
        </w:rPr>
      </w:r>
    </w:p>
    <w:p>
      <w:pPr>
        <w:pStyle w:val="Normal"/>
        <w:spacing w:lineRule="auto" w:line="360"/>
        <w:ind w:left="708"/>
        <w:jc w:val="both"/>
        <w:rPr>
          <w:rFonts w:ascii="Calibri" w:hAnsi="Calibri"/>
        </w:rPr>
      </w:pPr>
      <w:r>
        <w:rPr>
          <w:b/>
          <w:bCs/>
          <w:sz w:val="24"/>
          <w:szCs w:val="24"/>
        </w:rPr>
        <w:t>8 Piani per la qualità del servizio</w:t>
      </w:r>
    </w:p>
    <w:p>
      <w:pPr>
        <w:pStyle w:val="Normal"/>
        <w:jc w:val="both"/>
        <w:rPr>
          <w:rFonts w:ascii="Calibri" w:hAnsi="Calibri"/>
        </w:rPr>
      </w:pPr>
      <w:r>
        <w:rPr>
          <w:sz w:val="24"/>
          <w:szCs w:val="24"/>
        </w:rPr>
        <w:t>Il Gestore ha l'obbligo di perseguire gli obiettivi di qualità generale del servizio, monitorare le azioni svolte e le procedure seguite, nonché verificare l'efficacia e l'efficienza della gestione in ogni</w:t>
      </w:r>
    </w:p>
    <w:p>
      <w:pPr>
        <w:pStyle w:val="Normal"/>
        <w:jc w:val="both"/>
        <w:rPr>
          <w:rFonts w:ascii="Calibri" w:hAnsi="Calibri"/>
        </w:rPr>
      </w:pPr>
      <w:r>
        <w:rPr>
          <w:sz w:val="24"/>
          <w:szCs w:val="24"/>
        </w:rPr>
        <w:t>momento e misurare gli indicatori previsti. Gli aspetti fondamentali riguardano la comunicazione e l'informazione degli utenti.</w:t>
      </w:r>
    </w:p>
    <w:p>
      <w:pPr>
        <w:pStyle w:val="Normal"/>
        <w:jc w:val="both"/>
        <w:rPr>
          <w:rFonts w:ascii="Calibri" w:hAnsi="Calibri"/>
          <w:sz w:val="24"/>
          <w:szCs w:val="24"/>
        </w:rPr>
      </w:pPr>
      <w:r>
        <w:rPr>
          <w:sz w:val="24"/>
          <w:szCs w:val="24"/>
        </w:rPr>
      </w:r>
    </w:p>
    <w:p>
      <w:pPr>
        <w:pStyle w:val="Normal"/>
        <w:spacing w:lineRule="auto" w:line="360"/>
        <w:ind w:left="708"/>
        <w:jc w:val="both"/>
        <w:rPr>
          <w:rFonts w:ascii="Calibri" w:hAnsi="Calibri"/>
        </w:rPr>
      </w:pPr>
      <w:r>
        <w:rPr>
          <w:b/>
          <w:bCs/>
          <w:sz w:val="24"/>
          <w:szCs w:val="24"/>
        </w:rPr>
        <w:t>9 Piano di gestione delle interruzioni del servizio</w:t>
      </w:r>
    </w:p>
    <w:p>
      <w:pPr>
        <w:pStyle w:val="Normal"/>
        <w:jc w:val="both"/>
        <w:rPr>
          <w:rFonts w:ascii="Calibri" w:hAnsi="Calibri"/>
        </w:rPr>
      </w:pPr>
      <w:r>
        <w:rPr>
          <w:sz w:val="24"/>
          <w:szCs w:val="24"/>
        </w:rPr>
        <w:t>In quanto servizio di interesse generale, non è prevista la possibilità di interruzione. In caso eventi di forza maggiore che ne comportino l'interruzione obbligata, il Gestore deve immediatamente operarsi per il ripristino del servizio nel più breve tempo possibile, nell'ambito delle proprie competenze ed informare l'Ente, nelle persone responsabili, per qualsiasi altra situazione.</w:t>
      </w:r>
    </w:p>
    <w:p>
      <w:pPr>
        <w:pStyle w:val="Normal"/>
        <w:jc w:val="both"/>
        <w:rPr>
          <w:rFonts w:ascii="Calibri" w:hAnsi="Calibri"/>
          <w:sz w:val="24"/>
          <w:szCs w:val="24"/>
        </w:rPr>
      </w:pPr>
      <w:r>
        <w:rPr>
          <w:sz w:val="24"/>
          <w:szCs w:val="24"/>
        </w:rPr>
      </w:r>
    </w:p>
    <w:p>
      <w:pPr>
        <w:pStyle w:val="Normal"/>
        <w:spacing w:lineRule="auto" w:line="360"/>
        <w:ind w:left="708"/>
        <w:jc w:val="both"/>
        <w:rPr>
          <w:rFonts w:ascii="Calibri" w:hAnsi="Calibri"/>
        </w:rPr>
      </w:pPr>
      <w:r>
        <w:rPr>
          <w:b/>
          <w:bCs/>
          <w:sz w:val="24"/>
          <w:szCs w:val="24"/>
        </w:rPr>
        <w:t>10 Regime dei lavori</w:t>
      </w:r>
    </w:p>
    <w:p>
      <w:pPr>
        <w:pStyle w:val="Normal"/>
        <w:spacing w:lineRule="auto" w:line="360"/>
        <w:ind w:left="1416"/>
        <w:jc w:val="both"/>
        <w:rPr>
          <w:rFonts w:ascii="Calibri" w:hAnsi="Calibri"/>
        </w:rPr>
      </w:pPr>
      <w:r>
        <w:rPr>
          <w:b/>
          <w:bCs/>
          <w:sz w:val="24"/>
          <w:szCs w:val="24"/>
        </w:rPr>
        <w:t>10.1 Lavori di manutenzione e riparazione ordinaria</w:t>
      </w:r>
    </w:p>
    <w:p>
      <w:pPr>
        <w:pStyle w:val="Normal"/>
        <w:spacing w:lineRule="auto" w:line="360"/>
        <w:jc w:val="both"/>
        <w:rPr>
          <w:rFonts w:ascii="Calibri" w:hAnsi="Calibri"/>
        </w:rPr>
      </w:pPr>
      <w:r>
        <w:rPr>
          <w:sz w:val="24"/>
          <w:szCs w:val="24"/>
        </w:rPr>
        <w:t>Competono al Gestore le attività già descritte nel paragrafo relativo ai livelli minimi di servizio.</w:t>
      </w:r>
    </w:p>
    <w:p>
      <w:pPr>
        <w:pStyle w:val="Normal"/>
        <w:spacing w:lineRule="auto" w:line="360"/>
        <w:ind w:left="1416"/>
        <w:jc w:val="both"/>
        <w:rPr>
          <w:rFonts w:ascii="Calibri" w:hAnsi="Calibri"/>
        </w:rPr>
      </w:pPr>
      <w:r>
        <w:rPr>
          <w:b/>
          <w:bCs/>
          <w:sz w:val="24"/>
          <w:szCs w:val="24"/>
        </w:rPr>
        <w:t>10.2 Lavori di manutenzione e riparazione straordinaria</w:t>
      </w:r>
    </w:p>
    <w:p>
      <w:pPr>
        <w:pStyle w:val="Normal"/>
        <w:spacing w:lineRule="auto" w:line="360"/>
        <w:jc w:val="both"/>
        <w:rPr>
          <w:rFonts w:ascii="Calibri" w:hAnsi="Calibri"/>
        </w:rPr>
      </w:pPr>
      <w:r>
        <w:rPr>
          <w:sz w:val="24"/>
          <w:szCs w:val="24"/>
        </w:rPr>
        <w:t>Competono al Gestore le attività inerenti alle proprie attrezzature.</w:t>
      </w:r>
    </w:p>
    <w:p>
      <w:pPr>
        <w:pStyle w:val="Normal"/>
        <w:spacing w:lineRule="auto" w:line="360"/>
        <w:jc w:val="both"/>
        <w:rPr>
          <w:rFonts w:ascii="Calibri" w:hAnsi="Calibri"/>
          <w:sz w:val="24"/>
          <w:szCs w:val="24"/>
        </w:rPr>
      </w:pPr>
      <w:r>
        <w:rPr>
          <w:sz w:val="24"/>
          <w:szCs w:val="24"/>
        </w:rPr>
      </w:r>
    </w:p>
    <w:p>
      <w:pPr>
        <w:pStyle w:val="Normal"/>
        <w:spacing w:lineRule="auto" w:line="360"/>
        <w:ind w:left="708"/>
        <w:jc w:val="both"/>
        <w:rPr>
          <w:rFonts w:ascii="Calibri" w:hAnsi="Calibri"/>
        </w:rPr>
      </w:pPr>
      <w:bookmarkStart w:id="1" w:name="_Hlk184897128"/>
      <w:bookmarkEnd w:id="1"/>
      <w:r>
        <w:rPr>
          <w:b/>
          <w:bCs/>
          <w:sz w:val="24"/>
          <w:szCs w:val="24"/>
        </w:rPr>
        <w:t>11 Flusso informativo tra Gestore e Comune</w:t>
      </w:r>
    </w:p>
    <w:p>
      <w:pPr>
        <w:pStyle w:val="Normal"/>
        <w:spacing w:lineRule="auto" w:line="360"/>
        <w:ind w:left="1416"/>
        <w:jc w:val="both"/>
        <w:rPr>
          <w:rFonts w:ascii="Calibri" w:hAnsi="Calibri"/>
        </w:rPr>
      </w:pPr>
      <w:r>
        <w:rPr>
          <w:b/>
          <w:bCs/>
          <w:sz w:val="24"/>
          <w:szCs w:val="24"/>
        </w:rPr>
        <w:t>11.1 Comunicazione dati sul servizio</w:t>
      </w:r>
    </w:p>
    <w:p>
      <w:pPr>
        <w:pStyle w:val="Normal"/>
        <w:jc w:val="both"/>
        <w:rPr>
          <w:rFonts w:ascii="Calibri" w:hAnsi="Calibri"/>
        </w:rPr>
      </w:pPr>
      <w:bookmarkStart w:id="2" w:name="_Hlk184897162"/>
      <w:bookmarkEnd w:id="2"/>
      <w:r>
        <w:rPr>
          <w:sz w:val="24"/>
          <w:szCs w:val="24"/>
        </w:rPr>
        <w:t>Il Comune di Marciana per espletare le sue funzioni di controllo deve essere informato</w:t>
      </w:r>
    </w:p>
    <w:p>
      <w:pPr>
        <w:pStyle w:val="Normal"/>
        <w:jc w:val="both"/>
        <w:rPr>
          <w:rFonts w:ascii="Calibri" w:hAnsi="Calibri"/>
        </w:rPr>
      </w:pPr>
      <w:r>
        <w:rPr>
          <w:sz w:val="24"/>
          <w:szCs w:val="24"/>
        </w:rPr>
        <w:t>periodicamente sulla gestione del servizio, a tale scopo il Gestore fornirà un Rapporto informativo</w:t>
      </w:r>
    </w:p>
    <w:p>
      <w:pPr>
        <w:pStyle w:val="Normal"/>
        <w:jc w:val="both"/>
        <w:rPr>
          <w:rFonts w:ascii="Calibri" w:hAnsi="Calibri"/>
        </w:rPr>
      </w:pPr>
      <w:r>
        <w:rPr>
          <w:sz w:val="24"/>
          <w:szCs w:val="24"/>
        </w:rPr>
        <w:t>periodico con cadenza semestrale contenente tutte le informazioni necessarie per monitorare l’andamento della gestione e seguirne l’evoluzione nel tempo, verificando principalmente il raggiungimento degli obiettivi di servizio e l’effettuazione dei programmi di intervento.</w:t>
      </w:r>
    </w:p>
    <w:p>
      <w:pPr>
        <w:pStyle w:val="Normal"/>
        <w:jc w:val="both"/>
        <w:rPr>
          <w:rFonts w:ascii="Calibri" w:hAnsi="Calibri"/>
        </w:rPr>
      </w:pPr>
      <w:r>
        <w:rPr>
          <w:sz w:val="24"/>
          <w:szCs w:val="24"/>
        </w:rPr>
        <w:t>Il Rapporto informativo periodico è riassunto nella relazione di gestione annuale, deve essere</w:t>
      </w:r>
    </w:p>
    <w:p>
      <w:pPr>
        <w:pStyle w:val="Normal"/>
        <w:jc w:val="both"/>
        <w:rPr>
          <w:rFonts w:ascii="Calibri" w:hAnsi="Calibri"/>
        </w:rPr>
      </w:pPr>
      <w:r>
        <w:rPr>
          <w:sz w:val="24"/>
          <w:szCs w:val="24"/>
        </w:rPr>
        <w:t>trasmesso su supporto informatico entro il mese di marzo, e deve contenere i dati gestionali, tecnici,</w:t>
      </w:r>
    </w:p>
    <w:p>
      <w:pPr>
        <w:pStyle w:val="Normal"/>
        <w:jc w:val="both"/>
        <w:rPr>
          <w:rFonts w:ascii="Calibri" w:hAnsi="Calibri"/>
        </w:rPr>
      </w:pPr>
      <w:r>
        <w:rPr>
          <w:sz w:val="24"/>
          <w:szCs w:val="24"/>
        </w:rPr>
        <w:t>economici previsti dagli atti contrattuali. Deve comprendere una relazione illustrativa sullo</w:t>
      </w:r>
    </w:p>
    <w:p>
      <w:pPr>
        <w:pStyle w:val="Normal"/>
        <w:jc w:val="both"/>
        <w:rPr>
          <w:rFonts w:ascii="Calibri" w:hAnsi="Calibri"/>
        </w:rPr>
      </w:pPr>
      <w:r>
        <w:rPr>
          <w:sz w:val="24"/>
          <w:szCs w:val="24"/>
        </w:rPr>
        <w:t>svolgimento del Servizio dell’anno precedente.</w:t>
      </w:r>
    </w:p>
    <w:p>
      <w:pPr>
        <w:pStyle w:val="Normal"/>
        <w:jc w:val="both"/>
        <w:rPr>
          <w:rFonts w:ascii="Calibri" w:hAnsi="Calibri"/>
          <w:sz w:val="24"/>
          <w:szCs w:val="24"/>
        </w:rPr>
      </w:pPr>
      <w:r>
        <w:rPr>
          <w:sz w:val="24"/>
          <w:szCs w:val="24"/>
        </w:rPr>
      </w:r>
    </w:p>
    <w:p>
      <w:pPr>
        <w:pStyle w:val="Normal"/>
        <w:spacing w:lineRule="auto" w:line="360"/>
        <w:ind w:left="1416"/>
        <w:jc w:val="both"/>
        <w:rPr>
          <w:rFonts w:ascii="Calibri" w:hAnsi="Calibri"/>
        </w:rPr>
      </w:pPr>
      <w:r>
        <w:rPr>
          <w:b/>
          <w:bCs/>
          <w:sz w:val="24"/>
          <w:szCs w:val="24"/>
        </w:rPr>
        <w:t>11.2 Fattori di qualità dei servizi offerti</w:t>
      </w:r>
    </w:p>
    <w:p>
      <w:pPr>
        <w:pStyle w:val="Normal"/>
        <w:jc w:val="both"/>
        <w:rPr>
          <w:rFonts w:ascii="Calibri" w:hAnsi="Calibri"/>
        </w:rPr>
      </w:pPr>
      <w:r>
        <w:rPr>
          <w:sz w:val="24"/>
          <w:szCs w:val="24"/>
        </w:rPr>
        <w:t>La qualità di servizi offerti sarà misurata con riferimento ai seguenti fattori:</w:t>
      </w:r>
    </w:p>
    <w:p>
      <w:pPr>
        <w:pStyle w:val="Normal"/>
        <w:jc w:val="both"/>
        <w:rPr>
          <w:rFonts w:ascii="Calibri" w:hAnsi="Calibri"/>
        </w:rPr>
      </w:pPr>
      <w:r>
        <w:rPr>
          <w:sz w:val="24"/>
          <w:szCs w:val="24"/>
        </w:rPr>
        <w:t>- affidabilità e regolarità del servizio;</w:t>
      </w:r>
    </w:p>
    <w:p>
      <w:pPr>
        <w:pStyle w:val="Normal"/>
        <w:jc w:val="both"/>
        <w:rPr>
          <w:rFonts w:ascii="Calibri" w:hAnsi="Calibri"/>
        </w:rPr>
      </w:pPr>
      <w:r>
        <w:rPr>
          <w:sz w:val="24"/>
          <w:szCs w:val="24"/>
        </w:rPr>
        <w:t>- puntuale adempimento delle indicazioni dell’amministrazione;</w:t>
      </w:r>
    </w:p>
    <w:p>
      <w:pPr>
        <w:pStyle w:val="Normal"/>
        <w:jc w:val="both"/>
        <w:rPr>
          <w:rFonts w:ascii="Calibri" w:hAnsi="Calibri"/>
        </w:rPr>
      </w:pPr>
      <w:r>
        <w:rPr>
          <w:sz w:val="24"/>
          <w:szCs w:val="24"/>
        </w:rPr>
        <w:t>- rispetto dell’ambiente;</w:t>
      </w:r>
    </w:p>
    <w:p>
      <w:pPr>
        <w:pStyle w:val="Normal"/>
        <w:jc w:val="both"/>
        <w:rPr>
          <w:rFonts w:ascii="Calibri" w:hAnsi="Calibri"/>
        </w:rPr>
      </w:pPr>
      <w:r>
        <w:rPr>
          <w:sz w:val="24"/>
          <w:szCs w:val="24"/>
        </w:rPr>
        <w:t>- inoltro dei reclami e/o suggerimenti da parte dei cittadini, specificatamente per ciò che attiene alle disposizioni di cui al presente disciplinare;</w:t>
      </w:r>
    </w:p>
    <w:p>
      <w:pPr>
        <w:pStyle w:val="Normal"/>
        <w:ind w:left="1416"/>
        <w:jc w:val="both"/>
        <w:rPr>
          <w:rFonts w:ascii="Calibri" w:hAnsi="Calibri"/>
          <w:sz w:val="24"/>
          <w:szCs w:val="24"/>
        </w:rPr>
      </w:pPr>
      <w:r>
        <w:rPr>
          <w:sz w:val="24"/>
          <w:szCs w:val="24"/>
        </w:rPr>
      </w:r>
    </w:p>
    <w:p>
      <w:pPr>
        <w:pStyle w:val="Normal"/>
        <w:ind w:left="1416"/>
        <w:jc w:val="both"/>
        <w:rPr>
          <w:rFonts w:ascii="Calibri" w:hAnsi="Calibri"/>
        </w:rPr>
      </w:pPr>
      <w:r>
        <w:rPr>
          <w:b/>
          <w:bCs/>
          <w:sz w:val="24"/>
          <w:szCs w:val="24"/>
        </w:rPr>
        <w:t>11.3 Rendicontazione dettagliata per voci di ricavo, di costo e per bilancio complessivo</w:t>
      </w:r>
    </w:p>
    <w:p>
      <w:pPr>
        <w:pStyle w:val="Normal"/>
        <w:jc w:val="both"/>
        <w:rPr>
          <w:rFonts w:ascii="Calibri" w:hAnsi="Calibri"/>
        </w:rPr>
      </w:pPr>
      <w:r>
        <w:rPr>
          <w:sz w:val="24"/>
          <w:szCs w:val="24"/>
        </w:rPr>
        <w:t>Il conto economico deve essere riclassificato secondo le necessità del comune e deve contenere, oltre a quanto previsto dalla legge, la suddivisione dei costi, suddivisi per centro di costo.</w:t>
      </w:r>
    </w:p>
    <w:p>
      <w:pPr>
        <w:pStyle w:val="Normal"/>
        <w:jc w:val="both"/>
        <w:rPr>
          <w:rFonts w:ascii="Calibri" w:hAnsi="Calibri"/>
          <w:sz w:val="24"/>
          <w:szCs w:val="24"/>
        </w:rPr>
      </w:pPr>
      <w:r>
        <w:rPr>
          <w:sz w:val="24"/>
          <w:szCs w:val="24"/>
        </w:rPr>
      </w:r>
    </w:p>
    <w:p>
      <w:pPr>
        <w:pStyle w:val="Normal"/>
        <w:jc w:val="both"/>
        <w:rPr>
          <w:rFonts w:ascii="Calibri" w:hAnsi="Calibri"/>
          <w:sz w:val="24"/>
          <w:szCs w:val="24"/>
        </w:rPr>
      </w:pPr>
      <w:r>
        <w:rPr>
          <w:sz w:val="24"/>
          <w:szCs w:val="24"/>
        </w:rPr>
      </w:r>
    </w:p>
    <w:p>
      <w:pPr>
        <w:pStyle w:val="Normal"/>
        <w:spacing w:lineRule="auto" w:line="360"/>
        <w:ind w:left="708"/>
        <w:jc w:val="both"/>
        <w:rPr>
          <w:rFonts w:ascii="Calibri" w:hAnsi="Calibri"/>
        </w:rPr>
      </w:pPr>
      <w:r>
        <w:rPr>
          <w:b/>
          <w:bCs/>
          <w:sz w:val="24"/>
          <w:szCs w:val="24"/>
        </w:rPr>
        <w:t>12 Corrispettivo</w:t>
      </w:r>
    </w:p>
    <w:p>
      <w:pPr>
        <w:pStyle w:val="Normal"/>
        <w:jc w:val="both"/>
        <w:rPr>
          <w:rFonts w:ascii="Calibri" w:hAnsi="Calibri"/>
        </w:rPr>
      </w:pPr>
      <w:r>
        <w:rPr>
          <w:sz w:val="24"/>
          <w:szCs w:val="24"/>
        </w:rPr>
        <w:t xml:space="preserve">Il Comune per le attività di gestione come sopra enucleate corrisponderà alla società un corrispettivo complessivo </w:t>
      </w:r>
      <w:bookmarkStart w:id="3" w:name="Copia__Hlk184897128_1"/>
      <w:bookmarkStart w:id="4" w:name="Copia__Hlk184897162_1"/>
      <w:bookmarkEnd w:id="3"/>
      <w:bookmarkEnd w:id="4"/>
      <w:r>
        <w:rPr>
          <w:rFonts w:cs="Calibri"/>
          <w:kern w:val="0"/>
          <w:sz w:val="24"/>
          <w:szCs w:val="24"/>
        </w:rPr>
        <w:t>di € 21.653,94.</w:t>
      </w:r>
    </w:p>
    <w:sectPr>
      <w:footerReference w:type="even" r:id="rId2"/>
      <w:footerReference w:type="default" r:id="rId3"/>
      <w:type w:val="nextPage"/>
      <w:pgSz w:w="11906" w:h="16838"/>
      <w:pgMar w:left="1134" w:right="1134" w:gutter="0" w:header="0" w:top="1417" w:footer="1134" w:bottom="170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bookmarkStart w:id="5" w:name="PageNumWizard_FOOTER_Stile_di_pagina_pre"/>
    <w:r>
      <w:rPr/>
      <w:fldChar w:fldCharType="begin"/>
    </w:r>
    <w:r>
      <w:rPr/>
      <w:instrText xml:space="preserve"> PAGE </w:instrText>
    </w:r>
    <w:r>
      <w:rPr/>
      <w:fldChar w:fldCharType="separate"/>
    </w:r>
    <w:r>
      <w:rPr/>
      <w:t>8</w:t>
    </w:r>
    <w:r>
      <w:rPr/>
      <w:fldChar w:fldCharType="end"/>
    </w:r>
    <w:bookmarkEnd w:id="5"/>
  </w:p>
  <w:p>
    <w:pPr>
      <w:pStyle w:val="Normal"/>
      <w:jc w:val="center"/>
      <w:rPr>
        <w:rFonts w:cs="Arial"/>
        <w:color w:val="000000"/>
        <w:sz w:val="16"/>
        <w:szCs w:val="16"/>
      </w:rPr>
    </w:pPr>
    <w:r>
      <w:rPr>
        <w:rFonts w:cs="Arial"/>
        <w:color w:val="000000"/>
        <w:sz w:val="16"/>
        <w:szCs w:val="16"/>
      </w:rPr>
      <w:t>Via S. Croce, n. 34 - CAP 57030 MARCIANA – tel. +39 0565 901215 – fax +39 0565 901076</w:t>
    </w:r>
  </w:p>
  <w:p>
    <w:pPr>
      <w:pStyle w:val="Normal"/>
      <w:jc w:val="center"/>
      <w:rPr>
        <w:rFonts w:cs="Arial"/>
        <w:color w:val="000000"/>
        <w:sz w:val="16"/>
        <w:szCs w:val="16"/>
      </w:rPr>
    </w:pPr>
    <w:r>
      <w:rPr>
        <w:rFonts w:cs="Arial"/>
        <w:color w:val="000000"/>
        <w:sz w:val="16"/>
        <w:szCs w:val="16"/>
      </w:rPr>
      <w:t>P.IVA 01190920494 – CF 82001490497</w:t>
    </w:r>
  </w:p>
  <w:p>
    <w:pPr>
      <w:pStyle w:val="Normal"/>
      <w:jc w:val="center"/>
      <w:rPr>
        <w:rFonts w:cs="Arial"/>
        <w:color w:val="000000"/>
        <w:sz w:val="16"/>
        <w:szCs w:val="16"/>
      </w:rPr>
    </w:pPr>
    <w:r>
      <w:rPr>
        <w:rFonts w:cs="Arial"/>
        <w:color w:val="000000"/>
        <w:sz w:val="16"/>
        <w:szCs w:val="16"/>
      </w:rPr>
      <w:t>e-mail: info@comune.marciana.li.it - pec: protocollo@pec.comune.marciana.li.it – sito istituzionale: www.comune.marciana.li.it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bookmarkStart w:id="6" w:name="PageNumWizard_FOOTER_Stile_di_pagina_pr1"/>
    <w:r>
      <w:rPr/>
      <w:fldChar w:fldCharType="begin"/>
    </w:r>
    <w:r>
      <w:rPr/>
      <w:instrText xml:space="preserve"> PAGE </w:instrText>
    </w:r>
    <w:r>
      <w:rPr/>
      <w:fldChar w:fldCharType="separate"/>
    </w:r>
    <w:r>
      <w:rPr/>
      <w:t>7</w:t>
    </w:r>
    <w:r>
      <w:rPr/>
      <w:fldChar w:fldCharType="end"/>
    </w:r>
    <w:bookmarkEnd w:id="6"/>
  </w:p>
  <w:p>
    <w:pPr>
      <w:pStyle w:val="Normal"/>
      <w:jc w:val="center"/>
      <w:rPr>
        <w:rFonts w:cs="Arial"/>
        <w:color w:val="000000"/>
        <w:sz w:val="16"/>
        <w:szCs w:val="16"/>
      </w:rPr>
    </w:pPr>
    <w:r>
      <w:rPr>
        <w:rFonts w:cs="Arial"/>
        <w:color w:val="000000"/>
        <w:sz w:val="16"/>
        <w:szCs w:val="16"/>
      </w:rPr>
      <w:t>Via S. Croce, n. 34 - CAP 57030 MARCIANA – tel. +39 0565 901215 – fax +39 0565 901076</w:t>
    </w:r>
  </w:p>
  <w:p>
    <w:pPr>
      <w:pStyle w:val="Normal"/>
      <w:jc w:val="center"/>
      <w:rPr>
        <w:rFonts w:cs="Arial"/>
        <w:color w:val="000000"/>
        <w:sz w:val="16"/>
        <w:szCs w:val="16"/>
      </w:rPr>
    </w:pPr>
    <w:r>
      <w:rPr>
        <w:rFonts w:cs="Arial"/>
        <w:color w:val="000000"/>
        <w:sz w:val="16"/>
        <w:szCs w:val="16"/>
      </w:rPr>
      <w:t>P.IVA 01190920494 – CF 82001490497</w:t>
    </w:r>
  </w:p>
  <w:p>
    <w:pPr>
      <w:pStyle w:val="Normal"/>
      <w:jc w:val="center"/>
      <w:rPr>
        <w:rFonts w:cs="Arial"/>
        <w:color w:val="000000"/>
        <w:sz w:val="16"/>
        <w:szCs w:val="16"/>
      </w:rPr>
    </w:pPr>
    <w:r>
      <w:rPr>
        <w:rFonts w:cs="Arial"/>
        <w:color w:val="000000"/>
        <w:sz w:val="16"/>
        <w:szCs w:val="16"/>
      </w:rPr>
      <w:t>e-mail: info@comune.marciana.li.it - pec: protocollo@pec.comune.marciana.li.it – sito istituzionale: www.comune.marciana.li.it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4"/>
  <w:defaultTabStop w:val="708"/>
  <w:autoHyphenation w:val="true"/>
  <w:hyphenationZone w:val="283"/>
  <w:evenAndOddHeaders/>
  <w:compat>
    <w:doNotBreakWrappedTables/>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kern w:val="2"/>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63f88"/>
    <w:pPr>
      <w:widowControl/>
      <w:suppressAutoHyphens w:val="true"/>
      <w:bidi w:val="0"/>
      <w:spacing w:before="0" w:after="0"/>
      <w:jc w:val="left"/>
    </w:pPr>
    <w:rPr>
      <w:rFonts w:ascii="Calibri" w:hAnsi="Calibri" w:eastAsia="Arial" w:cs="Calibri" w:eastAsiaTheme="minorHAnsi"/>
      <w:color w:val="auto"/>
      <w:kern w:val="0"/>
      <w:sz w:val="22"/>
      <w:szCs w:val="22"/>
      <w:lang w:val="it-IT" w:eastAsia="en-US" w:bidi="ar-SA"/>
    </w:rPr>
  </w:style>
  <w:style w:type="paragraph" w:styleId="Heading1" w:customStyle="1">
    <w:name w:val="Heading 1"/>
    <w:basedOn w:val="Normal"/>
    <w:next w:val="Normal"/>
    <w:link w:val="Titolo1Carattere"/>
    <w:uiPriority w:val="9"/>
    <w:qFormat/>
    <w:rsid w:val="00663f88"/>
    <w:pPr>
      <w:keepNext w:val="true"/>
      <w:keepLines/>
      <w:spacing w:before="360" w:after="80"/>
      <w:outlineLvl w:val="0"/>
    </w:pPr>
    <w:rPr>
      <w:rFonts w:ascii="Arial" w:hAnsi="Arial" w:eastAsia="DejaVu Sans" w:cs="DejaVu Sans" w:asciiTheme="majorHAnsi" w:cstheme="majorBidi" w:eastAsiaTheme="majorEastAsia" w:hAnsiTheme="majorHAnsi"/>
      <w:color w:themeColor="accent1" w:themeShade="bf" w:val="117A02"/>
      <w:sz w:val="40"/>
      <w:szCs w:val="40"/>
    </w:rPr>
  </w:style>
  <w:style w:type="paragraph" w:styleId="Heading2" w:customStyle="1">
    <w:name w:val="Heading 2"/>
    <w:basedOn w:val="Normal"/>
    <w:next w:val="Normal"/>
    <w:link w:val="Titolo2Carattere"/>
    <w:uiPriority w:val="9"/>
    <w:semiHidden/>
    <w:unhideWhenUsed/>
    <w:qFormat/>
    <w:rsid w:val="00663f88"/>
    <w:pPr>
      <w:keepNext w:val="true"/>
      <w:keepLines/>
      <w:spacing w:before="160" w:after="80"/>
      <w:outlineLvl w:val="1"/>
    </w:pPr>
    <w:rPr>
      <w:rFonts w:ascii="Arial" w:hAnsi="Arial" w:eastAsia="DejaVu Sans" w:cs="DejaVu Sans" w:asciiTheme="majorHAnsi" w:cstheme="majorBidi" w:eastAsiaTheme="majorEastAsia" w:hAnsiTheme="majorHAnsi"/>
      <w:color w:themeColor="accent1" w:themeShade="bf" w:val="117A02"/>
      <w:sz w:val="32"/>
      <w:szCs w:val="32"/>
    </w:rPr>
  </w:style>
  <w:style w:type="paragraph" w:styleId="Heading3" w:customStyle="1">
    <w:name w:val="Heading 3"/>
    <w:basedOn w:val="Normal"/>
    <w:next w:val="Normal"/>
    <w:link w:val="Titolo3Carattere"/>
    <w:uiPriority w:val="9"/>
    <w:semiHidden/>
    <w:unhideWhenUsed/>
    <w:qFormat/>
    <w:rsid w:val="00663f88"/>
    <w:pPr>
      <w:keepNext w:val="true"/>
      <w:keepLines/>
      <w:spacing w:before="160" w:after="80"/>
      <w:outlineLvl w:val="2"/>
    </w:pPr>
    <w:rPr>
      <w:rFonts w:eastAsia="DejaVu Sans" w:cs="DejaVu Sans" w:cstheme="majorBidi" w:eastAsiaTheme="majorEastAsia"/>
      <w:color w:themeColor="accent1" w:themeShade="bf" w:val="117A02"/>
      <w:sz w:val="28"/>
      <w:szCs w:val="28"/>
    </w:rPr>
  </w:style>
  <w:style w:type="paragraph" w:styleId="Heading4" w:customStyle="1">
    <w:name w:val="Heading 4"/>
    <w:basedOn w:val="Normal"/>
    <w:next w:val="Normal"/>
    <w:link w:val="Titolo4Carattere"/>
    <w:uiPriority w:val="9"/>
    <w:semiHidden/>
    <w:unhideWhenUsed/>
    <w:qFormat/>
    <w:rsid w:val="00663f88"/>
    <w:pPr>
      <w:keepNext w:val="true"/>
      <w:keepLines/>
      <w:spacing w:before="80" w:after="40"/>
      <w:outlineLvl w:val="3"/>
    </w:pPr>
    <w:rPr>
      <w:rFonts w:eastAsia="DejaVu Sans" w:cs="DejaVu Sans" w:cstheme="majorBidi" w:eastAsiaTheme="majorEastAsia"/>
      <w:i/>
      <w:iCs/>
      <w:color w:themeColor="accent1" w:themeShade="bf" w:val="117A02"/>
    </w:rPr>
  </w:style>
  <w:style w:type="paragraph" w:styleId="Heading5" w:customStyle="1">
    <w:name w:val="Heading 5"/>
    <w:basedOn w:val="Normal"/>
    <w:next w:val="Normal"/>
    <w:link w:val="Titolo5Carattere"/>
    <w:uiPriority w:val="9"/>
    <w:semiHidden/>
    <w:unhideWhenUsed/>
    <w:qFormat/>
    <w:rsid w:val="00663f88"/>
    <w:pPr>
      <w:keepNext w:val="true"/>
      <w:keepLines/>
      <w:spacing w:before="80" w:after="40"/>
      <w:outlineLvl w:val="4"/>
    </w:pPr>
    <w:rPr>
      <w:rFonts w:eastAsia="DejaVu Sans" w:cs="DejaVu Sans" w:cstheme="majorBidi" w:eastAsiaTheme="majorEastAsia"/>
      <w:color w:themeColor="accent1" w:themeShade="bf" w:val="117A02"/>
    </w:rPr>
  </w:style>
  <w:style w:type="paragraph" w:styleId="Heading6" w:customStyle="1">
    <w:name w:val="Heading 6"/>
    <w:basedOn w:val="Normal"/>
    <w:next w:val="Normal"/>
    <w:link w:val="Titolo6Carattere"/>
    <w:uiPriority w:val="9"/>
    <w:semiHidden/>
    <w:unhideWhenUsed/>
    <w:qFormat/>
    <w:rsid w:val="00663f88"/>
    <w:pPr>
      <w:keepNext w:val="true"/>
      <w:keepLines/>
      <w:spacing w:before="40" w:after="0"/>
      <w:outlineLvl w:val="5"/>
    </w:pPr>
    <w:rPr>
      <w:rFonts w:eastAsia="DejaVu Sans" w:cs="DejaVu Sans" w:cstheme="majorBidi" w:eastAsiaTheme="majorEastAsia"/>
      <w:i/>
      <w:iCs/>
      <w:color w:themeColor="text1" w:themeTint="a6" w:val="595959"/>
    </w:rPr>
  </w:style>
  <w:style w:type="paragraph" w:styleId="Heading7" w:customStyle="1">
    <w:name w:val="Heading 7"/>
    <w:basedOn w:val="Normal"/>
    <w:next w:val="Normal"/>
    <w:link w:val="Titolo7Carattere"/>
    <w:uiPriority w:val="9"/>
    <w:semiHidden/>
    <w:unhideWhenUsed/>
    <w:qFormat/>
    <w:rsid w:val="00663f88"/>
    <w:pPr>
      <w:keepNext w:val="true"/>
      <w:keepLines/>
      <w:spacing w:before="40" w:after="0"/>
      <w:outlineLvl w:val="6"/>
    </w:pPr>
    <w:rPr>
      <w:rFonts w:eastAsia="DejaVu Sans" w:cs="DejaVu Sans" w:cstheme="majorBidi" w:eastAsiaTheme="majorEastAsia"/>
      <w:color w:themeColor="text1" w:themeTint="a6" w:val="595959"/>
    </w:rPr>
  </w:style>
  <w:style w:type="paragraph" w:styleId="Heading8" w:customStyle="1">
    <w:name w:val="Heading 8"/>
    <w:basedOn w:val="Normal"/>
    <w:next w:val="Normal"/>
    <w:link w:val="Titolo8Carattere"/>
    <w:uiPriority w:val="9"/>
    <w:semiHidden/>
    <w:unhideWhenUsed/>
    <w:qFormat/>
    <w:rsid w:val="00663f88"/>
    <w:pPr>
      <w:keepNext w:val="true"/>
      <w:keepLines/>
      <w:outlineLvl w:val="7"/>
    </w:pPr>
    <w:rPr>
      <w:rFonts w:eastAsia="DejaVu Sans" w:cs="DejaVu Sans" w:cstheme="majorBidi" w:eastAsiaTheme="majorEastAsia"/>
      <w:i/>
      <w:iCs/>
      <w:color w:themeColor="text1" w:themeTint="d8" w:val="272727"/>
    </w:rPr>
  </w:style>
  <w:style w:type="paragraph" w:styleId="Heading9" w:customStyle="1">
    <w:name w:val="Heading 9"/>
    <w:basedOn w:val="Normal"/>
    <w:next w:val="Normal"/>
    <w:link w:val="Titolo9Carattere"/>
    <w:uiPriority w:val="9"/>
    <w:semiHidden/>
    <w:unhideWhenUsed/>
    <w:qFormat/>
    <w:rsid w:val="00663f88"/>
    <w:pPr>
      <w:keepNext w:val="true"/>
      <w:keepLines/>
      <w:outlineLvl w:val="8"/>
    </w:pPr>
    <w:rPr>
      <w:rFonts w:eastAsia="DejaVu Sans" w:cs="DejaVu San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663f88"/>
    <w:rPr>
      <w:rFonts w:ascii="Arial" w:hAnsi="Arial" w:eastAsia="DejaVu Sans" w:cs="DejaVu Sans" w:asciiTheme="majorHAnsi" w:cstheme="majorBidi" w:eastAsiaTheme="majorEastAsia" w:hAnsiTheme="majorHAnsi"/>
      <w:color w:themeColor="accent1" w:themeShade="bf" w:val="117A02"/>
      <w:sz w:val="40"/>
      <w:szCs w:val="40"/>
    </w:rPr>
  </w:style>
  <w:style w:type="character" w:styleId="Titolo2Carattere" w:customStyle="1">
    <w:name w:val="Titolo 2 Carattere"/>
    <w:basedOn w:val="DefaultParagraphFont"/>
    <w:uiPriority w:val="9"/>
    <w:semiHidden/>
    <w:qFormat/>
    <w:rsid w:val="00663f88"/>
    <w:rPr>
      <w:rFonts w:ascii="Arial" w:hAnsi="Arial" w:eastAsia="DejaVu Sans" w:cs="DejaVu Sans" w:asciiTheme="majorHAnsi" w:cstheme="majorBidi" w:eastAsiaTheme="majorEastAsia" w:hAnsiTheme="majorHAnsi"/>
      <w:color w:themeColor="accent1" w:themeShade="bf" w:val="117A02"/>
      <w:sz w:val="32"/>
      <w:szCs w:val="32"/>
    </w:rPr>
  </w:style>
  <w:style w:type="character" w:styleId="Titolo3Carattere" w:customStyle="1">
    <w:name w:val="Titolo 3 Carattere"/>
    <w:basedOn w:val="DefaultParagraphFont"/>
    <w:uiPriority w:val="9"/>
    <w:semiHidden/>
    <w:qFormat/>
    <w:rsid w:val="00663f88"/>
    <w:rPr>
      <w:rFonts w:eastAsia="DejaVu Sans" w:cs="DejaVu Sans" w:cstheme="majorBidi" w:eastAsiaTheme="majorEastAsia"/>
      <w:color w:themeColor="accent1" w:themeShade="bf" w:val="117A02"/>
      <w:sz w:val="28"/>
      <w:szCs w:val="28"/>
    </w:rPr>
  </w:style>
  <w:style w:type="character" w:styleId="Titolo4Carattere" w:customStyle="1">
    <w:name w:val="Titolo 4 Carattere"/>
    <w:basedOn w:val="DefaultParagraphFont"/>
    <w:uiPriority w:val="9"/>
    <w:semiHidden/>
    <w:qFormat/>
    <w:rsid w:val="00663f88"/>
    <w:rPr>
      <w:rFonts w:eastAsia="DejaVu Sans" w:cs="DejaVu Sans" w:cstheme="majorBidi" w:eastAsiaTheme="majorEastAsia"/>
      <w:i/>
      <w:iCs/>
      <w:color w:themeColor="accent1" w:themeShade="bf" w:val="117A02"/>
    </w:rPr>
  </w:style>
  <w:style w:type="character" w:styleId="Titolo5Carattere" w:customStyle="1">
    <w:name w:val="Titolo 5 Carattere"/>
    <w:basedOn w:val="DefaultParagraphFont"/>
    <w:uiPriority w:val="9"/>
    <w:semiHidden/>
    <w:qFormat/>
    <w:rsid w:val="00663f88"/>
    <w:rPr>
      <w:rFonts w:eastAsia="DejaVu Sans" w:cs="DejaVu Sans" w:cstheme="majorBidi" w:eastAsiaTheme="majorEastAsia"/>
      <w:color w:themeColor="accent1" w:themeShade="bf" w:val="117A02"/>
    </w:rPr>
  </w:style>
  <w:style w:type="character" w:styleId="Titolo6Carattere" w:customStyle="1">
    <w:name w:val="Titolo 6 Carattere"/>
    <w:basedOn w:val="DefaultParagraphFont"/>
    <w:uiPriority w:val="9"/>
    <w:semiHidden/>
    <w:qFormat/>
    <w:rsid w:val="00663f88"/>
    <w:rPr>
      <w:rFonts w:eastAsia="DejaVu Sans" w:cs="DejaVu San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663f88"/>
    <w:rPr>
      <w:rFonts w:eastAsia="DejaVu Sans" w:cs="DejaVu San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663f88"/>
    <w:rPr>
      <w:rFonts w:eastAsia="DejaVu Sans" w:cs="DejaVu San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663f88"/>
    <w:rPr>
      <w:rFonts w:eastAsia="DejaVu Sans" w:cs="DejaVu Sans" w:cstheme="majorBidi" w:eastAsiaTheme="majorEastAsia"/>
      <w:color w:themeColor="text1" w:themeTint="d8" w:val="272727"/>
    </w:rPr>
  </w:style>
  <w:style w:type="character" w:styleId="TitoloCarattere" w:customStyle="1">
    <w:name w:val="Titolo Carattere"/>
    <w:basedOn w:val="DefaultParagraphFont"/>
    <w:uiPriority w:val="10"/>
    <w:qFormat/>
    <w:rsid w:val="00663f88"/>
    <w:rPr>
      <w:rFonts w:ascii="Arial" w:hAnsi="Arial" w:eastAsia="DejaVu Sans" w:cs="DejaVu San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663f88"/>
    <w:rPr>
      <w:rFonts w:eastAsia="DejaVu Sans" w:cs="DejaVu San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663f88"/>
    <w:rPr>
      <w:i/>
      <w:iCs/>
      <w:color w:themeColor="text1" w:themeTint="bf" w:val="404040"/>
    </w:rPr>
  </w:style>
  <w:style w:type="character" w:styleId="IntenseEmphasis">
    <w:name w:val="Intense Emphasis"/>
    <w:basedOn w:val="DefaultParagraphFont"/>
    <w:uiPriority w:val="21"/>
    <w:qFormat/>
    <w:rsid w:val="00663f88"/>
    <w:rPr>
      <w:i/>
      <w:iCs/>
      <w:color w:themeColor="accent1" w:themeShade="bf" w:val="117A02"/>
    </w:rPr>
  </w:style>
  <w:style w:type="character" w:styleId="CitazioneintensaCarattere" w:customStyle="1">
    <w:name w:val="Citazione intensa Carattere"/>
    <w:basedOn w:val="DefaultParagraphFont"/>
    <w:link w:val="IntenseQuote"/>
    <w:uiPriority w:val="30"/>
    <w:qFormat/>
    <w:rsid w:val="00663f88"/>
    <w:rPr>
      <w:i/>
      <w:iCs/>
      <w:color w:themeColor="accent1" w:themeShade="bf" w:val="117A02"/>
    </w:rPr>
  </w:style>
  <w:style w:type="character" w:styleId="IntenseReference">
    <w:name w:val="Intense Reference"/>
    <w:basedOn w:val="DefaultParagraphFont"/>
    <w:uiPriority w:val="32"/>
    <w:qFormat/>
    <w:rsid w:val="00663f88"/>
    <w:rPr>
      <w:b/>
      <w:bCs/>
      <w:smallCaps/>
      <w:color w:themeColor="accent1" w:themeShade="bf" w:val="117A02"/>
      <w:spacing w:val="5"/>
    </w:rPr>
  </w:style>
  <w:style w:type="character" w:styleId="Strong">
    <w:name w:val="Strong"/>
    <w:basedOn w:val="DefaultParagraphFont"/>
    <w:qFormat/>
    <w:rsid w:val="00d53813"/>
    <w:rPr>
      <w:b/>
      <w:bCs/>
    </w:rPr>
  </w:style>
  <w:style w:type="character" w:styleId="PidipaginaCarattere" w:customStyle="1">
    <w:name w:val="Piè di pagina Carattere"/>
    <w:basedOn w:val="DefaultParagraphFont"/>
    <w:qFormat/>
    <w:rsid w:val="00d53813"/>
    <w:rPr>
      <w:rFonts w:ascii="Arial" w:hAnsi="Arial" w:eastAsia="Times New Roman"/>
      <w:sz w:val="24"/>
    </w:rPr>
  </w:style>
  <w:style w:type="character" w:styleId="IntestazioneCarattere" w:customStyle="1">
    <w:name w:val="Intestazione Carattere"/>
    <w:basedOn w:val="DefaultParagraphFont"/>
    <w:qFormat/>
    <w:rsid w:val="00d53813"/>
    <w:rPr>
      <w:rFonts w:ascii="Arial" w:hAnsi="Arial" w:eastAsia="Times New Roman"/>
      <w:sz w:val="24"/>
    </w:rPr>
  </w:style>
  <w:style w:type="character" w:styleId="Hyperlink">
    <w:name w:val="Hyperlink"/>
    <w:basedOn w:val="DefaultParagraphFont"/>
    <w:rsid w:val="00d53813"/>
    <w:rPr>
      <w:color w:val="0000FF"/>
      <w:u w:val="single"/>
    </w:rPr>
  </w:style>
  <w:style w:type="character" w:styleId="TestofumettoCarattere" w:customStyle="1">
    <w:name w:val="Testo fumetto Carattere"/>
    <w:basedOn w:val="DefaultParagraphFont"/>
    <w:qFormat/>
    <w:rsid w:val="00d53813"/>
    <w:rPr>
      <w:rFonts w:ascii="Tahoma" w:hAnsi="Tahoma" w:eastAsia="Times New Roman" w:cs="Tahoma"/>
      <w:sz w:val="16"/>
      <w:szCs w:val="16"/>
      <w:lang w:eastAsia="it-I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d53813"/>
    <w:pPr>
      <w:spacing w:lineRule="auto" w:line="276" w:before="0" w:after="140"/>
    </w:pPr>
    <w:rPr/>
  </w:style>
  <w:style w:type="paragraph" w:styleId="List">
    <w:name w:val="List"/>
    <w:basedOn w:val="BodyText"/>
    <w:rsid w:val="00d53813"/>
    <w:pPr/>
    <w:rPr>
      <w:rFonts w:cs="Lucida Sans"/>
    </w:rPr>
  </w:style>
  <w:style w:type="paragraph" w:styleId="Caption" w:customStyle="1">
    <w:name w:val="Caption"/>
    <w:basedOn w:val="Normal"/>
    <w:qFormat/>
    <w:rsid w:val="00d53813"/>
    <w:pPr>
      <w:suppressLineNumbers/>
      <w:spacing w:before="120" w:after="120"/>
    </w:pPr>
    <w:rPr>
      <w:rFonts w:cs="Lucida Sans"/>
      <w:i/>
      <w:iCs/>
      <w:sz w:val="24"/>
      <w:szCs w:val="24"/>
    </w:rPr>
  </w:style>
  <w:style w:type="paragraph" w:styleId="Indice" w:customStyle="1">
    <w:name w:val="Indice"/>
    <w:basedOn w:val="Normal"/>
    <w:qFormat/>
    <w:rsid w:val="00d53813"/>
    <w:pPr>
      <w:suppressLineNumbers/>
    </w:pPr>
    <w:rPr>
      <w:rFonts w:cs="Lucida Sans"/>
    </w:rPr>
  </w:style>
  <w:style w:type="paragraph" w:styleId="Title">
    <w:name w:val="Title"/>
    <w:basedOn w:val="Normal"/>
    <w:next w:val="BodyText"/>
    <w:link w:val="TitoloCarattere"/>
    <w:uiPriority w:val="10"/>
    <w:qFormat/>
    <w:rsid w:val="00663f88"/>
    <w:pPr>
      <w:spacing w:before="0" w:after="80"/>
      <w:contextualSpacing/>
    </w:pPr>
    <w:rPr>
      <w:rFonts w:ascii="Arial" w:hAnsi="Arial" w:eastAsia="DejaVu Sans" w:cs="DejaVu Sans" w:asciiTheme="majorHAnsi" w:cstheme="majorBidi" w:eastAsiaTheme="majorEastAsia" w:hAnsiTheme="majorHAnsi"/>
      <w:spacing w:val="-10"/>
      <w:kern w:val="2"/>
      <w:sz w:val="56"/>
      <w:szCs w:val="56"/>
    </w:rPr>
  </w:style>
  <w:style w:type="paragraph" w:styleId="Caption1" w:customStyle="1">
    <w:name w:val="caption1"/>
    <w:basedOn w:val="Normal"/>
    <w:qFormat/>
    <w:rsid w:val="00d53813"/>
    <w:pPr>
      <w:suppressLineNumbers/>
      <w:spacing w:before="120" w:after="120"/>
    </w:pPr>
    <w:rPr>
      <w:rFonts w:cs="Lucida Sans"/>
      <w:i/>
      <w:iCs/>
      <w:sz w:val="24"/>
      <w:szCs w:val="24"/>
    </w:rPr>
  </w:style>
  <w:style w:type="paragraph" w:styleId="Subtitle">
    <w:name w:val="Subtitle"/>
    <w:basedOn w:val="Normal"/>
    <w:next w:val="Normal"/>
    <w:link w:val="SottotitoloCarattere"/>
    <w:uiPriority w:val="11"/>
    <w:qFormat/>
    <w:rsid w:val="00663f88"/>
    <w:pPr/>
    <w:rPr>
      <w:rFonts w:eastAsia="DejaVu Sans" w:cs="DejaVu San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663f88"/>
    <w:pPr>
      <w:spacing w:before="160" w:after="0"/>
      <w:jc w:val="center"/>
    </w:pPr>
    <w:rPr>
      <w:i/>
      <w:iCs/>
      <w:color w:themeColor="text1" w:themeTint="bf" w:val="404040"/>
    </w:rPr>
  </w:style>
  <w:style w:type="paragraph" w:styleId="ListParagraph">
    <w:name w:val="List Paragraph"/>
    <w:basedOn w:val="Normal"/>
    <w:uiPriority w:val="34"/>
    <w:qFormat/>
    <w:rsid w:val="00663f88"/>
    <w:pPr>
      <w:spacing w:before="0" w:after="0"/>
      <w:ind w:left="720"/>
      <w:contextualSpacing/>
    </w:pPr>
    <w:rPr/>
  </w:style>
  <w:style w:type="paragraph" w:styleId="IntenseQuote">
    <w:name w:val="Intense Quote"/>
    <w:basedOn w:val="Normal"/>
    <w:next w:val="Normal"/>
    <w:link w:val="CitazioneintensaCarattere"/>
    <w:uiPriority w:val="30"/>
    <w:qFormat/>
    <w:rsid w:val="00663f88"/>
    <w:pPr>
      <w:pBdr>
        <w:top w:val="single" w:sz="4" w:space="10" w:color="117A02" w:themeColor="accent1" w:themeShade="bf"/>
        <w:bottom w:val="single" w:sz="4" w:space="10" w:color="117A02" w:themeColor="accent1" w:themeShade="bf"/>
      </w:pBdr>
      <w:spacing w:before="360" w:after="360"/>
      <w:ind w:left="864" w:right="864"/>
      <w:jc w:val="center"/>
    </w:pPr>
    <w:rPr>
      <w:i/>
      <w:iCs/>
      <w:color w:themeColor="accent1" w:themeShade="bf" w:val="117A02"/>
    </w:rPr>
  </w:style>
  <w:style w:type="paragraph" w:styleId="Tabellanormale1" w:customStyle="1">
    <w:name w:val="Tabella normale1"/>
    <w:qFormat/>
    <w:rsid w:val="00d53813"/>
    <w:pPr>
      <w:widowControl/>
      <w:suppressAutoHyphens w:val="true"/>
      <w:bidi w:val="0"/>
      <w:spacing w:lineRule="auto" w:line="259" w:before="0" w:after="160"/>
      <w:jc w:val="left"/>
    </w:pPr>
    <w:rPr>
      <w:rFonts w:ascii="Times New Roman" w:hAnsi="Times New Roman" w:eastAsia="Calibri" w:cs="Times New Roman"/>
      <w:color w:val="auto"/>
      <w:kern w:val="2"/>
      <w:sz w:val="20"/>
      <w:szCs w:val="20"/>
      <w:lang w:val="it-IT" w:eastAsia="it-IT" w:bidi="ar-SA"/>
    </w:rPr>
  </w:style>
  <w:style w:type="paragraph" w:styleId="Intestazioneepidipagina" w:customStyle="1">
    <w:name w:val="Intestazione e piè di pagina"/>
    <w:basedOn w:val="Normal"/>
    <w:qFormat/>
    <w:rsid w:val="00d53813"/>
    <w:pPr>
      <w:suppressLineNumbers/>
      <w:tabs>
        <w:tab w:val="clear" w:pos="708"/>
        <w:tab w:val="center" w:pos="4819" w:leader="none"/>
        <w:tab w:val="right" w:pos="9638" w:leader="none"/>
      </w:tabs>
    </w:pPr>
    <w:rPr/>
  </w:style>
  <w:style w:type="paragraph" w:styleId="Footer" w:customStyle="1">
    <w:name w:val="Footer"/>
    <w:basedOn w:val="Intestazioneepidipagina"/>
    <w:rsid w:val="00d53813"/>
    <w:pPr/>
    <w:rPr/>
  </w:style>
  <w:style w:type="paragraph" w:styleId="Contenutotabella" w:customStyle="1">
    <w:name w:val="Contenuto tabella"/>
    <w:basedOn w:val="Normal"/>
    <w:qFormat/>
    <w:rsid w:val="00d53813"/>
    <w:pPr>
      <w:widowControl w:val="false"/>
      <w:suppressLineNumbers/>
    </w:pPr>
    <w:rPr/>
  </w:style>
  <w:style w:type="paragraph" w:styleId="Titolotabella" w:customStyle="1">
    <w:name w:val="Titolo tabella"/>
    <w:basedOn w:val="Contenutotabella"/>
    <w:qFormat/>
    <w:rsid w:val="00d53813"/>
    <w:pPr>
      <w:jc w:val="center"/>
    </w:pPr>
    <w:rPr>
      <w:b/>
      <w:bCs/>
    </w:rPr>
  </w:style>
  <w:style w:type="paragraph" w:styleId="Default" w:customStyle="1">
    <w:name w:val="Default"/>
    <w:qFormat/>
    <w:rsid w:val="00d53813"/>
    <w:pPr>
      <w:widowControl/>
      <w:suppressAutoHyphens w:val="true"/>
      <w:bidi w:val="0"/>
      <w:spacing w:before="0" w:after="0"/>
      <w:jc w:val="left"/>
    </w:pPr>
    <w:rPr>
      <w:rFonts w:ascii="Times New Roman" w:hAnsi="Times New Roman" w:eastAsia="Times New Roman" w:cs="DejaVu Sans"/>
      <w:color w:val="000000"/>
      <w:kern w:val="2"/>
      <w:sz w:val="24"/>
      <w:szCs w:val="24"/>
      <w:lang w:val="it-IT" w:eastAsia="en-US" w:bidi="ar-SA"/>
    </w:rPr>
  </w:style>
  <w:style w:type="paragraph" w:styleId="Header" w:customStyle="1">
    <w:name w:val="Header"/>
    <w:basedOn w:val="Normal"/>
    <w:rsid w:val="00d53813"/>
    <w:pPr>
      <w:tabs>
        <w:tab w:val="clear" w:pos="708"/>
        <w:tab w:val="center" w:pos="4819" w:leader="none"/>
        <w:tab w:val="right" w:pos="9638" w:leader="none"/>
      </w:tabs>
    </w:pPr>
    <w:rPr/>
  </w:style>
  <w:style w:type="paragraph" w:styleId="Caption2" w:customStyle="1">
    <w:name w:val="caption2"/>
    <w:basedOn w:val="Normal"/>
    <w:next w:val="Normal"/>
    <w:qFormat/>
    <w:rsid w:val="00d53813"/>
    <w:pPr>
      <w:jc w:val="center"/>
    </w:pPr>
    <w:rPr>
      <w:rFonts w:ascii="Times New Roman" w:hAnsi="Times New Roman"/>
      <w:b/>
      <w:bCs/>
      <w:color w:val="000000"/>
      <w:sz w:val="32"/>
      <w:szCs w:val="24"/>
    </w:rPr>
  </w:style>
  <w:style w:type="paragraph" w:styleId="BalloonText">
    <w:name w:val="Balloon Text"/>
    <w:basedOn w:val="Normal"/>
    <w:qFormat/>
    <w:rsid w:val="00d53813"/>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64</TotalTime>
  <Application>LibreOffice/7.6.4.1$Windows_X86_64 LibreOffice_project/e19e193f88cd6c0525a17fb7a176ed8e6a3e2aa1</Application>
  <AppVersion>15.0000</AppVersion>
  <Pages>8</Pages>
  <Words>2365</Words>
  <Characters>14012</Characters>
  <CharactersWithSpaces>16233</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2025-02-18T09:40:00Z</dcterms:created>
  <dc:creator>Matteo D'Ambrosio</dc:creator>
  <dc:description/>
  <dc:language>it-IT</dc:language>
  <cp:lastModifiedBy/>
  <dcterms:modified xsi:type="dcterms:W3CDTF">2026-06-22T15:59:17Z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